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A6DD9">
      <w:pPr>
        <w:ind w:firstLine="640"/>
        <w:rPr>
          <w:highlight w:val="none"/>
        </w:rPr>
      </w:pPr>
      <w:bookmarkStart w:id="0" w:name="_Toc66196119"/>
    </w:p>
    <w:p w14:paraId="324BE739">
      <w:pPr>
        <w:ind w:firstLine="640"/>
        <w:rPr>
          <w:highlight w:val="none"/>
        </w:rPr>
      </w:pPr>
    </w:p>
    <w:p w14:paraId="47D68A7F">
      <w:pPr>
        <w:ind w:firstLine="640"/>
        <w:rPr>
          <w:highlight w:val="none"/>
        </w:rPr>
      </w:pPr>
    </w:p>
    <w:p w14:paraId="0B2C8C06">
      <w:pPr>
        <w:ind w:firstLine="640"/>
        <w:rPr>
          <w:highlight w:val="none"/>
        </w:rPr>
      </w:pPr>
    </w:p>
    <w:p w14:paraId="04859A1B">
      <w:pPr>
        <w:pStyle w:val="27"/>
        <w:ind w:left="640" w:firstLine="400"/>
        <w:rPr>
          <w:highlight w:val="none"/>
        </w:rPr>
      </w:pPr>
    </w:p>
    <w:p w14:paraId="45834162">
      <w:pPr>
        <w:pStyle w:val="8"/>
        <w:spacing w:before="312" w:after="312"/>
        <w:outlineLvl w:val="9"/>
        <w:rPr>
          <w:rFonts w:hint="eastAsia" w:cs="Times New Roman"/>
          <w:sz w:val="44"/>
          <w:szCs w:val="44"/>
          <w:highlight w:val="none"/>
        </w:rPr>
      </w:pPr>
      <w:bookmarkStart w:id="1" w:name="_Toc4446"/>
      <w:bookmarkStart w:id="2" w:name="_Toc29739"/>
      <w:bookmarkStart w:id="3" w:name="_Toc14170"/>
      <w:bookmarkStart w:id="4" w:name="_Toc1738"/>
      <w:bookmarkStart w:id="5" w:name="_Toc14761"/>
      <w:bookmarkStart w:id="6" w:name="_Toc7522"/>
      <w:bookmarkStart w:id="7" w:name="_Toc18205"/>
      <w:bookmarkStart w:id="8" w:name="_Toc14814"/>
      <w:r>
        <w:rPr>
          <w:rFonts w:hint="eastAsia"/>
          <w:sz w:val="44"/>
          <w:szCs w:val="44"/>
          <w:highlight w:val="none"/>
        </w:rPr>
        <w:t>扎赉诺尔区“十四五”生态环境保护规划</w:t>
      </w:r>
      <w:bookmarkEnd w:id="0"/>
      <w:bookmarkEnd w:id="1"/>
      <w:r>
        <w:rPr>
          <w:rFonts w:hint="eastAsia" w:cs="Times New Roman"/>
          <w:sz w:val="44"/>
          <w:szCs w:val="44"/>
          <w:highlight w:val="none"/>
        </w:rPr>
        <w:t>（</w:t>
      </w:r>
      <w:r>
        <w:rPr>
          <w:rFonts w:cs="Times New Roman"/>
          <w:sz w:val="44"/>
          <w:szCs w:val="44"/>
          <w:highlight w:val="none"/>
        </w:rPr>
        <w:t>2021-2025</w:t>
      </w:r>
      <w:r>
        <w:rPr>
          <w:rFonts w:hint="eastAsia" w:cs="Times New Roman"/>
          <w:sz w:val="44"/>
          <w:szCs w:val="44"/>
          <w:highlight w:val="none"/>
        </w:rPr>
        <w:t>年）</w:t>
      </w:r>
      <w:bookmarkEnd w:id="2"/>
      <w:bookmarkEnd w:id="3"/>
      <w:bookmarkEnd w:id="4"/>
      <w:bookmarkEnd w:id="5"/>
      <w:bookmarkEnd w:id="6"/>
      <w:bookmarkEnd w:id="7"/>
      <w:bookmarkEnd w:id="8"/>
    </w:p>
    <w:p w14:paraId="1393E2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黑体" w:cstheme="minorBidi"/>
          <w:kern w:val="2"/>
          <w:sz w:val="44"/>
          <w:szCs w:val="44"/>
          <w:highlight w:val="none"/>
          <w:lang w:val="en-US" w:eastAsia="zh-CN" w:bidi="ar-SA"/>
        </w:rPr>
      </w:pPr>
    </w:p>
    <w:p w14:paraId="6BA66C88">
      <w:pPr>
        <w:pStyle w:val="8"/>
        <w:spacing w:before="312" w:after="312"/>
        <w:outlineLvl w:val="9"/>
        <w:rPr>
          <w:rFonts w:hint="eastAsia"/>
          <w:sz w:val="44"/>
          <w:szCs w:val="44"/>
          <w:highlight w:val="none"/>
        </w:rPr>
      </w:pPr>
      <w:bookmarkStart w:id="9" w:name="_Toc26672"/>
      <w:bookmarkStart w:id="10" w:name="_Toc32331"/>
      <w:bookmarkStart w:id="11" w:name="_Toc19667"/>
      <w:bookmarkStart w:id="12" w:name="_Toc12489"/>
      <w:bookmarkStart w:id="13" w:name="_Toc29570"/>
    </w:p>
    <w:bookmarkEnd w:id="9"/>
    <w:bookmarkEnd w:id="10"/>
    <w:bookmarkEnd w:id="11"/>
    <w:bookmarkEnd w:id="12"/>
    <w:bookmarkEnd w:id="13"/>
    <w:p w14:paraId="4D4DB5ED">
      <w:pPr>
        <w:ind w:firstLine="640"/>
        <w:rPr>
          <w:highlight w:val="none"/>
        </w:rPr>
      </w:pPr>
    </w:p>
    <w:p w14:paraId="2A409DCD">
      <w:pPr>
        <w:ind w:firstLine="640"/>
        <w:rPr>
          <w:highlight w:val="none"/>
        </w:rPr>
      </w:pPr>
    </w:p>
    <w:p w14:paraId="2FFA2767">
      <w:pPr>
        <w:ind w:firstLine="640"/>
        <w:rPr>
          <w:highlight w:val="none"/>
        </w:rPr>
      </w:pPr>
    </w:p>
    <w:p w14:paraId="72A250C0">
      <w:pPr>
        <w:ind w:firstLine="640"/>
        <w:rPr>
          <w:highlight w:val="none"/>
        </w:rPr>
      </w:pPr>
    </w:p>
    <w:p w14:paraId="6C173EA2">
      <w:pPr>
        <w:ind w:firstLine="640"/>
        <w:rPr>
          <w:highlight w:val="none"/>
        </w:rPr>
      </w:pPr>
    </w:p>
    <w:p w14:paraId="52407B16">
      <w:pPr>
        <w:ind w:firstLine="640"/>
        <w:rPr>
          <w:highlight w:val="none"/>
        </w:rPr>
      </w:pPr>
    </w:p>
    <w:p w14:paraId="4F74191B">
      <w:pPr>
        <w:ind w:firstLine="640"/>
        <w:rPr>
          <w:highlight w:val="none"/>
        </w:rPr>
      </w:pPr>
    </w:p>
    <w:p w14:paraId="257799CE">
      <w:pPr>
        <w:ind w:firstLine="640"/>
        <w:rPr>
          <w:highlight w:val="none"/>
        </w:rPr>
      </w:pPr>
    </w:p>
    <w:p w14:paraId="1F43A00C">
      <w:pPr>
        <w:pStyle w:val="2"/>
        <w:rPr>
          <w:highlight w:val="none"/>
        </w:rPr>
      </w:pPr>
    </w:p>
    <w:p w14:paraId="42CE79F1">
      <w:pPr>
        <w:pStyle w:val="2"/>
        <w:rPr>
          <w:highlight w:val="none"/>
        </w:rPr>
      </w:pPr>
    </w:p>
    <w:p w14:paraId="10E8BEF9">
      <w:pPr>
        <w:widowControl/>
        <w:ind w:firstLine="0" w:firstLineChars="0"/>
        <w:jc w:val="center"/>
        <w:rPr>
          <w:highlight w:val="none"/>
        </w:rPr>
      </w:pPr>
      <w:r>
        <w:rPr>
          <w:rFonts w:cs="Times New Roman"/>
          <w:b/>
          <w:bCs/>
          <w:color w:val="000000"/>
          <w:kern w:val="0"/>
          <w:sz w:val="31"/>
          <w:szCs w:val="31"/>
          <w:highlight w:val="none"/>
          <w:lang w:bidi="ar"/>
        </w:rPr>
        <w:t>202</w:t>
      </w:r>
      <w:r>
        <w:rPr>
          <w:rFonts w:hint="eastAsia" w:cs="Times New Roman"/>
          <w:b/>
          <w:bCs/>
          <w:color w:val="000000"/>
          <w:kern w:val="0"/>
          <w:sz w:val="31"/>
          <w:szCs w:val="31"/>
          <w:highlight w:val="none"/>
          <w:lang w:val="en-US" w:eastAsia="zh-CN" w:bidi="ar"/>
        </w:rPr>
        <w:t>2</w:t>
      </w:r>
      <w:r>
        <w:rPr>
          <w:rFonts w:cs="Times New Roman"/>
          <w:b/>
          <w:bCs/>
          <w:color w:val="000000"/>
          <w:kern w:val="0"/>
          <w:sz w:val="31"/>
          <w:szCs w:val="31"/>
          <w:highlight w:val="none"/>
          <w:lang w:bidi="ar"/>
        </w:rPr>
        <w:t>年</w:t>
      </w:r>
      <w:r>
        <w:rPr>
          <w:rFonts w:hint="eastAsia" w:cs="Times New Roman"/>
          <w:b/>
          <w:bCs/>
          <w:color w:val="000000"/>
          <w:kern w:val="0"/>
          <w:sz w:val="31"/>
          <w:szCs w:val="31"/>
          <w:highlight w:val="none"/>
          <w:lang w:val="en-US" w:eastAsia="zh-CN" w:bidi="ar"/>
        </w:rPr>
        <w:t>11</w:t>
      </w:r>
      <w:r>
        <w:rPr>
          <w:rFonts w:cs="Times New Roman"/>
          <w:b/>
          <w:bCs/>
          <w:color w:val="000000"/>
          <w:kern w:val="0"/>
          <w:sz w:val="31"/>
          <w:szCs w:val="31"/>
          <w:highlight w:val="none"/>
          <w:lang w:bidi="ar"/>
        </w:rPr>
        <w:t>月</w:t>
      </w:r>
    </w:p>
    <w:p w14:paraId="11893AAB">
      <w:pPr>
        <w:ind w:firstLine="640"/>
        <w:jc w:val="center"/>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6C104A07">
      <w:pPr>
        <w:pStyle w:val="24"/>
        <w:tabs>
          <w:tab w:val="right" w:leader="dot" w:pos="8296"/>
        </w:tabs>
        <w:ind w:firstLine="389" w:firstLineChars="88"/>
        <w:jc w:val="center"/>
        <w:rPr>
          <w:rFonts w:ascii="黑体" w:hAnsi="黑体" w:eastAsia="黑体" w:cs="黑体"/>
          <w:sz w:val="44"/>
          <w:szCs w:val="44"/>
          <w:highlight w:val="none"/>
        </w:rPr>
      </w:pPr>
      <w:r>
        <w:rPr>
          <w:rFonts w:hint="eastAsia" w:ascii="黑体" w:hAnsi="黑体" w:eastAsia="黑体" w:cs="黑体"/>
          <w:sz w:val="44"/>
          <w:szCs w:val="44"/>
          <w:highlight w:val="none"/>
        </w:rPr>
        <w:t xml:space="preserve">目 </w:t>
      </w:r>
      <w:r>
        <w:rPr>
          <w:rFonts w:ascii="黑体" w:hAnsi="黑体" w:eastAsia="黑体" w:cs="黑体"/>
          <w:sz w:val="44"/>
          <w:szCs w:val="44"/>
          <w:highlight w:val="none"/>
        </w:rPr>
        <w:t xml:space="preserve"> </w:t>
      </w:r>
      <w:r>
        <w:rPr>
          <w:rFonts w:hint="eastAsia" w:ascii="黑体" w:hAnsi="黑体" w:eastAsia="黑体" w:cs="黑体"/>
          <w:sz w:val="44"/>
          <w:szCs w:val="44"/>
          <w:highlight w:val="none"/>
        </w:rPr>
        <w:t>录</w:t>
      </w:r>
    </w:p>
    <w:p w14:paraId="7189FE79">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TOC \o "1-3" \h \z \u </w:instrText>
      </w:r>
      <w:r>
        <w:rPr>
          <w:rFonts w:ascii="黑体" w:hAnsi="黑体" w:eastAsia="黑体" w:cs="黑体"/>
          <w:i w:val="0"/>
          <w:iCs w:val="0"/>
          <w:sz w:val="28"/>
          <w:szCs w:val="28"/>
          <w:highlight w:val="none"/>
        </w:rPr>
        <w:fldChar w:fldCharType="separate"/>
      </w: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_Toc15928 </w:instrText>
      </w:r>
      <w:r>
        <w:rPr>
          <w:rFonts w:ascii="黑体" w:hAnsi="黑体" w:eastAsia="黑体" w:cs="黑体"/>
          <w:i w:val="0"/>
          <w:iCs w:val="0"/>
          <w:sz w:val="28"/>
          <w:szCs w:val="28"/>
          <w:highlight w:val="none"/>
        </w:rPr>
        <w:fldChar w:fldCharType="separate"/>
      </w:r>
      <w:r>
        <w:rPr>
          <w:rFonts w:hint="eastAsia"/>
          <w:i w:val="0"/>
          <w:iCs w:val="0"/>
          <w:sz w:val="28"/>
          <w:szCs w:val="28"/>
          <w:highlight w:val="none"/>
        </w:rPr>
        <w:t xml:space="preserve">前 </w:t>
      </w:r>
      <w:r>
        <w:rPr>
          <w:i w:val="0"/>
          <w:iCs w:val="0"/>
          <w:sz w:val="28"/>
          <w:szCs w:val="28"/>
          <w:highlight w:val="none"/>
        </w:rPr>
        <w:t xml:space="preserve"> </w:t>
      </w:r>
      <w:r>
        <w:rPr>
          <w:rFonts w:hint="eastAsia"/>
          <w:i w:val="0"/>
          <w:iCs w:val="0"/>
          <w:sz w:val="28"/>
          <w:szCs w:val="28"/>
          <w:highlight w:val="none"/>
        </w:rPr>
        <w:t>言</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_Toc15928 \h </w:instrText>
      </w:r>
      <w:r>
        <w:rPr>
          <w:i w:val="0"/>
          <w:iCs w:val="0"/>
          <w:sz w:val="28"/>
          <w:szCs w:val="28"/>
          <w:highlight w:val="none"/>
        </w:rPr>
        <w:fldChar w:fldCharType="separate"/>
      </w:r>
      <w:r>
        <w:rPr>
          <w:i w:val="0"/>
          <w:iCs w:val="0"/>
          <w:sz w:val="28"/>
          <w:szCs w:val="28"/>
          <w:highlight w:val="none"/>
        </w:rPr>
        <w:t>- 1 -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0FB9078">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_Toc4010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第一章 </w:t>
      </w:r>
      <w:r>
        <w:rPr>
          <w:rFonts w:hint="eastAsia"/>
          <w:i w:val="0"/>
          <w:iCs w:val="0"/>
          <w:sz w:val="28"/>
          <w:szCs w:val="28"/>
          <w:highlight w:val="none"/>
        </w:rPr>
        <w:t>生态环境保护成就与形势</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_Toc4010 \h </w:instrText>
      </w:r>
      <w:r>
        <w:rPr>
          <w:i w:val="0"/>
          <w:iCs w:val="0"/>
          <w:sz w:val="28"/>
          <w:szCs w:val="28"/>
          <w:highlight w:val="none"/>
        </w:rPr>
        <w:fldChar w:fldCharType="separate"/>
      </w:r>
      <w:r>
        <w:rPr>
          <w:i w:val="0"/>
          <w:iCs w:val="0"/>
          <w:sz w:val="28"/>
          <w:szCs w:val="28"/>
          <w:highlight w:val="none"/>
        </w:rPr>
        <w:t>- 2 -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1BC6F084">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_Toc12031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lang w:val="en-US" w:eastAsia="zh-CN"/>
        </w:rPr>
        <w:t>“十三五”</w:t>
      </w:r>
      <w:r>
        <w:rPr>
          <w:rFonts w:hint="eastAsia"/>
          <w:i w:val="0"/>
          <w:iCs w:val="0"/>
          <w:sz w:val="28"/>
          <w:szCs w:val="28"/>
          <w:highlight w:val="none"/>
        </w:rPr>
        <w:t>工作回顾</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_Toc12031 \h </w:instrText>
      </w:r>
      <w:r>
        <w:rPr>
          <w:i w:val="0"/>
          <w:iCs w:val="0"/>
          <w:sz w:val="28"/>
          <w:szCs w:val="28"/>
          <w:highlight w:val="none"/>
        </w:rPr>
        <w:fldChar w:fldCharType="separate"/>
      </w:r>
      <w:r>
        <w:rPr>
          <w:i w:val="0"/>
          <w:iCs w:val="0"/>
          <w:sz w:val="28"/>
          <w:szCs w:val="28"/>
          <w:highlight w:val="none"/>
        </w:rPr>
        <w:t>- 2 -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FA7F806">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_Toc18548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１. </w:t>
      </w:r>
      <w:r>
        <w:rPr>
          <w:i w:val="0"/>
          <w:iCs w:val="0"/>
          <w:sz w:val="28"/>
          <w:szCs w:val="28"/>
          <w:highlight w:val="none"/>
        </w:rPr>
        <w:t>生态文明制度建设取得积极进展</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_Toc18548 \h </w:instrText>
      </w:r>
      <w:r>
        <w:rPr>
          <w:i w:val="0"/>
          <w:iCs w:val="0"/>
          <w:sz w:val="28"/>
          <w:szCs w:val="28"/>
          <w:highlight w:val="none"/>
        </w:rPr>
        <w:fldChar w:fldCharType="separate"/>
      </w:r>
      <w:r>
        <w:rPr>
          <w:i w:val="0"/>
          <w:iCs w:val="0"/>
          <w:sz w:val="28"/>
          <w:szCs w:val="28"/>
          <w:highlight w:val="none"/>
        </w:rPr>
        <w:t>- 3 -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368DB68">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_Toc15982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２. </w:t>
      </w:r>
      <w:r>
        <w:rPr>
          <w:i w:val="0"/>
          <w:iCs w:val="0"/>
          <w:sz w:val="28"/>
          <w:szCs w:val="28"/>
          <w:highlight w:val="none"/>
        </w:rPr>
        <w:t>推进修复治理，生态保护建设成效明显</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_Toc15982 \h </w:instrText>
      </w:r>
      <w:r>
        <w:rPr>
          <w:i w:val="0"/>
          <w:iCs w:val="0"/>
          <w:sz w:val="28"/>
          <w:szCs w:val="28"/>
          <w:highlight w:val="none"/>
        </w:rPr>
        <w:fldChar w:fldCharType="separate"/>
      </w:r>
      <w:r>
        <w:rPr>
          <w:i w:val="0"/>
          <w:iCs w:val="0"/>
          <w:sz w:val="28"/>
          <w:szCs w:val="28"/>
          <w:highlight w:val="none"/>
        </w:rPr>
        <w:t>- 3 -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825AAC8">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_Toc23397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３. </w:t>
      </w:r>
      <w:r>
        <w:rPr>
          <w:i w:val="0"/>
          <w:iCs w:val="0"/>
          <w:sz w:val="28"/>
          <w:szCs w:val="28"/>
          <w:highlight w:val="none"/>
        </w:rPr>
        <w:t>污染防治</w:t>
      </w:r>
      <w:r>
        <w:rPr>
          <w:rFonts w:hint="eastAsia"/>
          <w:i w:val="0"/>
          <w:iCs w:val="0"/>
          <w:sz w:val="28"/>
          <w:szCs w:val="28"/>
          <w:highlight w:val="none"/>
          <w:lang w:eastAsia="zh-CN"/>
        </w:rPr>
        <w:t>“</w:t>
      </w:r>
      <w:r>
        <w:rPr>
          <w:i w:val="0"/>
          <w:iCs w:val="0"/>
          <w:sz w:val="28"/>
          <w:szCs w:val="28"/>
          <w:highlight w:val="none"/>
        </w:rPr>
        <w:t>三大攻坚战</w:t>
      </w:r>
      <w:r>
        <w:rPr>
          <w:rFonts w:hint="eastAsia"/>
          <w:i w:val="0"/>
          <w:iCs w:val="0"/>
          <w:sz w:val="28"/>
          <w:szCs w:val="28"/>
          <w:highlight w:val="none"/>
          <w:lang w:eastAsia="zh-CN"/>
        </w:rPr>
        <w:t>”</w:t>
      </w:r>
      <w:r>
        <w:rPr>
          <w:i w:val="0"/>
          <w:iCs w:val="0"/>
          <w:sz w:val="28"/>
          <w:szCs w:val="28"/>
          <w:highlight w:val="none"/>
        </w:rPr>
        <w:t>成效明显</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_Toc23397 \h </w:instrText>
      </w:r>
      <w:r>
        <w:rPr>
          <w:i w:val="0"/>
          <w:iCs w:val="0"/>
          <w:sz w:val="28"/>
          <w:szCs w:val="28"/>
          <w:highlight w:val="none"/>
        </w:rPr>
        <w:fldChar w:fldCharType="separate"/>
      </w:r>
      <w:r>
        <w:rPr>
          <w:i w:val="0"/>
          <w:iCs w:val="0"/>
          <w:sz w:val="28"/>
          <w:szCs w:val="28"/>
          <w:highlight w:val="none"/>
        </w:rPr>
        <w:t>- 4 -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9A3016A">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_Toc30205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４. </w:t>
      </w:r>
      <w:r>
        <w:rPr>
          <w:i w:val="0"/>
          <w:iCs w:val="0"/>
          <w:sz w:val="28"/>
          <w:szCs w:val="28"/>
          <w:highlight w:val="none"/>
        </w:rPr>
        <w:t>扎实推进中央环保</w:t>
      </w:r>
      <w:r>
        <w:rPr>
          <w:rFonts w:hint="eastAsia"/>
          <w:i w:val="0"/>
          <w:iCs w:val="0"/>
          <w:sz w:val="28"/>
          <w:szCs w:val="28"/>
          <w:highlight w:val="none"/>
          <w:lang w:val="en-US" w:eastAsia="zh-CN"/>
        </w:rPr>
        <w:t>督察</w:t>
      </w:r>
      <w:r>
        <w:rPr>
          <w:i w:val="0"/>
          <w:iCs w:val="0"/>
          <w:sz w:val="28"/>
          <w:szCs w:val="28"/>
          <w:highlight w:val="none"/>
        </w:rPr>
        <w:t>整改工作</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_Toc30205 \h </w:instrText>
      </w:r>
      <w:r>
        <w:rPr>
          <w:i w:val="0"/>
          <w:iCs w:val="0"/>
          <w:sz w:val="28"/>
          <w:szCs w:val="28"/>
          <w:highlight w:val="none"/>
        </w:rPr>
        <w:fldChar w:fldCharType="separate"/>
      </w:r>
      <w:r>
        <w:rPr>
          <w:i w:val="0"/>
          <w:iCs w:val="0"/>
          <w:sz w:val="28"/>
          <w:szCs w:val="28"/>
          <w:highlight w:val="none"/>
        </w:rPr>
        <w:t>- 7 -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6F8F885">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_Toc18219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５. </w:t>
      </w:r>
      <w:r>
        <w:rPr>
          <w:i w:val="0"/>
          <w:iCs w:val="0"/>
          <w:sz w:val="28"/>
          <w:szCs w:val="28"/>
          <w:highlight w:val="none"/>
        </w:rPr>
        <w:t>环境监管机制与执法监督能力显著提升</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_Toc18219 \h </w:instrText>
      </w:r>
      <w:r>
        <w:rPr>
          <w:i w:val="0"/>
          <w:iCs w:val="0"/>
          <w:sz w:val="28"/>
          <w:szCs w:val="28"/>
          <w:highlight w:val="none"/>
        </w:rPr>
        <w:fldChar w:fldCharType="separate"/>
      </w:r>
      <w:r>
        <w:rPr>
          <w:i w:val="0"/>
          <w:iCs w:val="0"/>
          <w:sz w:val="28"/>
          <w:szCs w:val="28"/>
          <w:highlight w:val="none"/>
        </w:rPr>
        <w:t>- 8 -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7B6BB08">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_Toc20597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６. </w:t>
      </w:r>
      <w:r>
        <w:rPr>
          <w:i w:val="0"/>
          <w:iCs w:val="0"/>
          <w:sz w:val="28"/>
          <w:szCs w:val="28"/>
          <w:highlight w:val="none"/>
        </w:rPr>
        <w:t>强化源头控制，绿色发展环境进一步优化</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_Toc20597 \h </w:instrText>
      </w:r>
      <w:r>
        <w:rPr>
          <w:i w:val="0"/>
          <w:iCs w:val="0"/>
          <w:sz w:val="28"/>
          <w:szCs w:val="28"/>
          <w:highlight w:val="none"/>
        </w:rPr>
        <w:fldChar w:fldCharType="separate"/>
      </w:r>
      <w:r>
        <w:rPr>
          <w:i w:val="0"/>
          <w:iCs w:val="0"/>
          <w:sz w:val="28"/>
          <w:szCs w:val="28"/>
          <w:highlight w:val="none"/>
        </w:rPr>
        <w:t>- 9 -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F755F4F">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_Toc24332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存在的主要问题</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_Toc24332 \h </w:instrText>
      </w:r>
      <w:r>
        <w:rPr>
          <w:i w:val="0"/>
          <w:iCs w:val="0"/>
          <w:sz w:val="28"/>
          <w:szCs w:val="28"/>
          <w:highlight w:val="none"/>
        </w:rPr>
        <w:fldChar w:fldCharType="separate"/>
      </w:r>
      <w:r>
        <w:rPr>
          <w:i w:val="0"/>
          <w:iCs w:val="0"/>
          <w:sz w:val="28"/>
          <w:szCs w:val="28"/>
          <w:highlight w:val="none"/>
        </w:rPr>
        <w:t>- 9 -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6D70D7F">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_Toc4374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１. </w:t>
      </w:r>
      <w:r>
        <w:rPr>
          <w:rFonts w:hint="eastAsia"/>
          <w:i w:val="0"/>
          <w:iCs w:val="0"/>
          <w:sz w:val="28"/>
          <w:szCs w:val="28"/>
          <w:highlight w:val="none"/>
        </w:rPr>
        <w:t>污染</w:t>
      </w:r>
      <w:r>
        <w:rPr>
          <w:rFonts w:hint="eastAsia"/>
          <w:i w:val="0"/>
          <w:iCs w:val="0"/>
          <w:sz w:val="28"/>
          <w:szCs w:val="28"/>
          <w:highlight w:val="none"/>
          <w:lang w:val="en-US" w:eastAsia="zh-CN"/>
        </w:rPr>
        <w:t>防治</w:t>
      </w:r>
      <w:r>
        <w:rPr>
          <w:i w:val="0"/>
          <w:iCs w:val="0"/>
          <w:sz w:val="28"/>
          <w:szCs w:val="28"/>
          <w:highlight w:val="none"/>
        </w:rPr>
        <w:t>工作任重道远</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_Toc4374 \h </w:instrText>
      </w:r>
      <w:r>
        <w:rPr>
          <w:i w:val="0"/>
          <w:iCs w:val="0"/>
          <w:sz w:val="28"/>
          <w:szCs w:val="28"/>
          <w:highlight w:val="none"/>
        </w:rPr>
        <w:fldChar w:fldCharType="separate"/>
      </w:r>
      <w:r>
        <w:rPr>
          <w:i w:val="0"/>
          <w:iCs w:val="0"/>
          <w:sz w:val="28"/>
          <w:szCs w:val="28"/>
          <w:highlight w:val="none"/>
        </w:rPr>
        <w:t>- 10 -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5E2EEA6">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_Toc2553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２. </w:t>
      </w:r>
      <w:r>
        <w:rPr>
          <w:i w:val="0"/>
          <w:iCs w:val="0"/>
          <w:sz w:val="28"/>
          <w:szCs w:val="28"/>
          <w:highlight w:val="none"/>
        </w:rPr>
        <w:t>生态环境保护体制机制不够健全</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_Toc2553 \h </w:instrText>
      </w:r>
      <w:r>
        <w:rPr>
          <w:i w:val="0"/>
          <w:iCs w:val="0"/>
          <w:sz w:val="28"/>
          <w:szCs w:val="28"/>
          <w:highlight w:val="none"/>
        </w:rPr>
        <w:fldChar w:fldCharType="separate"/>
      </w:r>
      <w:r>
        <w:rPr>
          <w:i w:val="0"/>
          <w:iCs w:val="0"/>
          <w:sz w:val="28"/>
          <w:szCs w:val="28"/>
          <w:highlight w:val="none"/>
        </w:rPr>
        <w:t>- 10 -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AF62725">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_Toc14585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３. </w:t>
      </w:r>
      <w:r>
        <w:rPr>
          <w:i w:val="0"/>
          <w:iCs w:val="0"/>
          <w:sz w:val="28"/>
          <w:szCs w:val="28"/>
          <w:highlight w:val="none"/>
        </w:rPr>
        <w:t>生态环境保护投入力度依然不足</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_Toc14585 \h </w:instrText>
      </w:r>
      <w:r>
        <w:rPr>
          <w:i w:val="0"/>
          <w:iCs w:val="0"/>
          <w:sz w:val="28"/>
          <w:szCs w:val="28"/>
          <w:highlight w:val="none"/>
        </w:rPr>
        <w:fldChar w:fldCharType="separate"/>
      </w:r>
      <w:r>
        <w:rPr>
          <w:i w:val="0"/>
          <w:iCs w:val="0"/>
          <w:sz w:val="28"/>
          <w:szCs w:val="28"/>
          <w:highlight w:val="none"/>
        </w:rPr>
        <w:t>- 11 -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10076D1">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_Toc13424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面临的机遇与挑战</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_Toc13424 \h </w:instrText>
      </w:r>
      <w:r>
        <w:rPr>
          <w:i w:val="0"/>
          <w:iCs w:val="0"/>
          <w:sz w:val="28"/>
          <w:szCs w:val="28"/>
          <w:highlight w:val="none"/>
        </w:rPr>
        <w:fldChar w:fldCharType="separate"/>
      </w:r>
      <w:r>
        <w:rPr>
          <w:i w:val="0"/>
          <w:iCs w:val="0"/>
          <w:sz w:val="28"/>
          <w:szCs w:val="28"/>
          <w:highlight w:val="none"/>
        </w:rPr>
        <w:t>- 11 -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8A763D4">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_Toc25918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１. </w:t>
      </w:r>
      <w:r>
        <w:rPr>
          <w:i w:val="0"/>
          <w:iCs w:val="0"/>
          <w:sz w:val="28"/>
          <w:szCs w:val="28"/>
          <w:highlight w:val="none"/>
        </w:rPr>
        <w:t>面临的机遇</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_Toc25918 \h </w:instrText>
      </w:r>
      <w:r>
        <w:rPr>
          <w:i w:val="0"/>
          <w:iCs w:val="0"/>
          <w:sz w:val="28"/>
          <w:szCs w:val="28"/>
          <w:highlight w:val="none"/>
        </w:rPr>
        <w:fldChar w:fldCharType="separate"/>
      </w:r>
      <w:r>
        <w:rPr>
          <w:i w:val="0"/>
          <w:iCs w:val="0"/>
          <w:sz w:val="28"/>
          <w:szCs w:val="28"/>
          <w:highlight w:val="none"/>
        </w:rPr>
        <w:t>- 12 -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867CC17">
      <w:pPr>
        <w:pStyle w:val="1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_Toc26736 </w:instrText>
      </w:r>
      <w:r>
        <w:rPr>
          <w:rFonts w:ascii="黑体" w:hAnsi="黑体" w:eastAsia="黑体" w:cs="黑体"/>
          <w:i w:val="0"/>
          <w:iCs w:val="0"/>
          <w:sz w:val="28"/>
          <w:szCs w:val="28"/>
          <w:highlight w:val="none"/>
        </w:rPr>
        <w:fldChar w:fldCharType="separate"/>
      </w:r>
      <w:r>
        <w:rPr>
          <w:rFonts w:hint="eastAsia" w:ascii="Times New Roman" w:hAnsi="Times New Roman" w:eastAsia="仿宋_GB2312" w:cs="仿宋_GB2312"/>
          <w:bCs/>
          <w:i w:val="0"/>
          <w:iCs w:val="0"/>
          <w:sz w:val="28"/>
          <w:szCs w:val="28"/>
          <w:highlight w:val="none"/>
        </w:rPr>
        <w:t xml:space="preserve">２. </w:t>
      </w:r>
      <w:r>
        <w:rPr>
          <w:i w:val="0"/>
          <w:iCs w:val="0"/>
          <w:sz w:val="28"/>
          <w:szCs w:val="28"/>
          <w:highlight w:val="none"/>
        </w:rPr>
        <w:t>面临的挑战</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_Toc26736 \h </w:instrText>
      </w:r>
      <w:r>
        <w:rPr>
          <w:i w:val="0"/>
          <w:iCs w:val="0"/>
          <w:sz w:val="28"/>
          <w:szCs w:val="28"/>
          <w:highlight w:val="none"/>
        </w:rPr>
        <w:fldChar w:fldCharType="separate"/>
      </w:r>
      <w:r>
        <w:rPr>
          <w:i w:val="0"/>
          <w:iCs w:val="0"/>
          <w:sz w:val="28"/>
          <w:szCs w:val="28"/>
          <w:highlight w:val="none"/>
        </w:rPr>
        <w:t>- 14 -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BF5177D">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_Toc17652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第二章 </w:t>
      </w:r>
      <w:r>
        <w:rPr>
          <w:rFonts w:hint="eastAsia"/>
          <w:i w:val="0"/>
          <w:iCs w:val="0"/>
          <w:sz w:val="28"/>
          <w:szCs w:val="28"/>
          <w:highlight w:val="none"/>
        </w:rPr>
        <w:t>指导思想、原则与目标</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_Toc17652 \h </w:instrText>
      </w:r>
      <w:r>
        <w:rPr>
          <w:i w:val="0"/>
          <w:iCs w:val="0"/>
          <w:sz w:val="28"/>
          <w:szCs w:val="28"/>
          <w:highlight w:val="none"/>
        </w:rPr>
        <w:fldChar w:fldCharType="separate"/>
      </w:r>
      <w:r>
        <w:rPr>
          <w:i w:val="0"/>
          <w:iCs w:val="0"/>
          <w:sz w:val="28"/>
          <w:szCs w:val="28"/>
          <w:highlight w:val="none"/>
        </w:rPr>
        <w:t>- 16 -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597983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_Toc18509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指导思想</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_Toc18509 \h </w:instrText>
      </w:r>
      <w:r>
        <w:rPr>
          <w:i w:val="0"/>
          <w:iCs w:val="0"/>
          <w:sz w:val="28"/>
          <w:szCs w:val="28"/>
          <w:highlight w:val="none"/>
        </w:rPr>
        <w:fldChar w:fldCharType="separate"/>
      </w:r>
      <w:r>
        <w:rPr>
          <w:i w:val="0"/>
          <w:iCs w:val="0"/>
          <w:sz w:val="28"/>
          <w:szCs w:val="28"/>
          <w:highlight w:val="none"/>
        </w:rPr>
        <w:t>- 16 -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B986F9E">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_Toc7758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基本原则</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_Toc7758 \h </w:instrText>
      </w:r>
      <w:r>
        <w:rPr>
          <w:i w:val="0"/>
          <w:iCs w:val="0"/>
          <w:sz w:val="28"/>
          <w:szCs w:val="28"/>
          <w:highlight w:val="none"/>
        </w:rPr>
        <w:fldChar w:fldCharType="separate"/>
      </w:r>
      <w:r>
        <w:rPr>
          <w:i w:val="0"/>
          <w:iCs w:val="0"/>
          <w:sz w:val="28"/>
          <w:szCs w:val="28"/>
          <w:highlight w:val="none"/>
        </w:rPr>
        <w:t>- 16 -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BC4A0E7">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_Toc20250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主要目标</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_Toc20250 \h </w:instrText>
      </w:r>
      <w:r>
        <w:rPr>
          <w:i w:val="0"/>
          <w:iCs w:val="0"/>
          <w:sz w:val="28"/>
          <w:szCs w:val="28"/>
          <w:highlight w:val="none"/>
        </w:rPr>
        <w:fldChar w:fldCharType="separate"/>
      </w:r>
      <w:r>
        <w:rPr>
          <w:i w:val="0"/>
          <w:iCs w:val="0"/>
          <w:sz w:val="28"/>
          <w:szCs w:val="28"/>
          <w:highlight w:val="none"/>
        </w:rPr>
        <w:t>- 18 -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5F0C3343">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_Toc17888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第三章 </w:t>
      </w:r>
      <w:r>
        <w:rPr>
          <w:rFonts w:hint="eastAsia"/>
          <w:i w:val="0"/>
          <w:iCs w:val="0"/>
          <w:sz w:val="28"/>
          <w:szCs w:val="28"/>
          <w:highlight w:val="none"/>
        </w:rPr>
        <w:t>强化绿色源头防控，推动绿色低碳发展</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_Toc17888 \h </w:instrText>
      </w:r>
      <w:r>
        <w:rPr>
          <w:i w:val="0"/>
          <w:iCs w:val="0"/>
          <w:sz w:val="28"/>
          <w:szCs w:val="28"/>
          <w:highlight w:val="none"/>
        </w:rPr>
        <w:fldChar w:fldCharType="separate"/>
      </w:r>
      <w:r>
        <w:rPr>
          <w:i w:val="0"/>
          <w:iCs w:val="0"/>
          <w:sz w:val="28"/>
          <w:szCs w:val="28"/>
          <w:highlight w:val="none"/>
        </w:rPr>
        <w:t>- 22 -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CD905E7">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_Toc10111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建立国土空间开发新格局</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_Toc10111 \h </w:instrText>
      </w:r>
      <w:r>
        <w:rPr>
          <w:i w:val="0"/>
          <w:iCs w:val="0"/>
          <w:sz w:val="28"/>
          <w:szCs w:val="28"/>
          <w:highlight w:val="none"/>
        </w:rPr>
        <w:fldChar w:fldCharType="separate"/>
      </w:r>
      <w:r>
        <w:rPr>
          <w:i w:val="0"/>
          <w:iCs w:val="0"/>
          <w:sz w:val="28"/>
          <w:szCs w:val="28"/>
          <w:highlight w:val="none"/>
        </w:rPr>
        <w:t>- 22 -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718F76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_Toc19576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lang w:val="en-US" w:eastAsia="zh-CN"/>
        </w:rPr>
        <w:t>全面</w:t>
      </w:r>
      <w:r>
        <w:rPr>
          <w:rFonts w:hint="eastAsia"/>
          <w:i w:val="0"/>
          <w:iCs w:val="0"/>
          <w:sz w:val="28"/>
          <w:szCs w:val="28"/>
          <w:highlight w:val="none"/>
        </w:rPr>
        <w:t>落实生态环境分区管控</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_Toc19576 \h </w:instrText>
      </w:r>
      <w:r>
        <w:rPr>
          <w:i w:val="0"/>
          <w:iCs w:val="0"/>
          <w:sz w:val="28"/>
          <w:szCs w:val="28"/>
          <w:highlight w:val="none"/>
        </w:rPr>
        <w:fldChar w:fldCharType="separate"/>
      </w:r>
      <w:r>
        <w:rPr>
          <w:i w:val="0"/>
          <w:iCs w:val="0"/>
          <w:sz w:val="28"/>
          <w:szCs w:val="28"/>
          <w:highlight w:val="none"/>
        </w:rPr>
        <w:t>- 22 -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F12CFE7">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_Toc27898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大力发展绿色产业体系</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_Toc27898 \h </w:instrText>
      </w:r>
      <w:r>
        <w:rPr>
          <w:i w:val="0"/>
          <w:iCs w:val="0"/>
          <w:sz w:val="28"/>
          <w:szCs w:val="28"/>
          <w:highlight w:val="none"/>
        </w:rPr>
        <w:fldChar w:fldCharType="separate"/>
      </w:r>
      <w:r>
        <w:rPr>
          <w:i w:val="0"/>
          <w:iCs w:val="0"/>
          <w:sz w:val="28"/>
          <w:szCs w:val="28"/>
          <w:highlight w:val="none"/>
        </w:rPr>
        <w:t>- 23 -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567AC442">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_Toc22112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第四节 </w:t>
      </w:r>
      <w:r>
        <w:rPr>
          <w:rFonts w:hint="eastAsia"/>
          <w:i w:val="0"/>
          <w:iCs w:val="0"/>
          <w:sz w:val="28"/>
          <w:szCs w:val="28"/>
          <w:highlight w:val="none"/>
        </w:rPr>
        <w:t>加快产业结构升级</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_Toc22112 \h </w:instrText>
      </w:r>
      <w:r>
        <w:rPr>
          <w:i w:val="0"/>
          <w:iCs w:val="0"/>
          <w:sz w:val="28"/>
          <w:szCs w:val="28"/>
          <w:highlight w:val="none"/>
        </w:rPr>
        <w:fldChar w:fldCharType="separate"/>
      </w:r>
      <w:r>
        <w:rPr>
          <w:i w:val="0"/>
          <w:iCs w:val="0"/>
          <w:sz w:val="28"/>
          <w:szCs w:val="28"/>
          <w:highlight w:val="none"/>
        </w:rPr>
        <w:t>- 24 -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17C08CF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_Toc3552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第五节 </w:t>
      </w:r>
      <w:r>
        <w:rPr>
          <w:rFonts w:hint="eastAsia"/>
          <w:i w:val="0"/>
          <w:iCs w:val="0"/>
          <w:sz w:val="28"/>
          <w:szCs w:val="28"/>
          <w:highlight w:val="none"/>
          <w:lang w:val="en-US" w:eastAsia="zh-CN"/>
        </w:rPr>
        <w:t>大力发展清洁能源</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_Toc3552 \h </w:instrText>
      </w:r>
      <w:r>
        <w:rPr>
          <w:i w:val="0"/>
          <w:iCs w:val="0"/>
          <w:sz w:val="28"/>
          <w:szCs w:val="28"/>
          <w:highlight w:val="none"/>
        </w:rPr>
        <w:fldChar w:fldCharType="separate"/>
      </w:r>
      <w:r>
        <w:rPr>
          <w:i w:val="0"/>
          <w:iCs w:val="0"/>
          <w:sz w:val="28"/>
          <w:szCs w:val="28"/>
          <w:highlight w:val="none"/>
        </w:rPr>
        <w:t>- 24 -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E9BE7D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_Toc20220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第六节 </w:t>
      </w:r>
      <w:r>
        <w:rPr>
          <w:rFonts w:hint="eastAsia"/>
          <w:i w:val="0"/>
          <w:iCs w:val="0"/>
          <w:sz w:val="28"/>
          <w:szCs w:val="28"/>
          <w:highlight w:val="none"/>
        </w:rPr>
        <w:t>构建绿色交通体系</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_Toc20220 \h </w:instrText>
      </w:r>
      <w:r>
        <w:rPr>
          <w:i w:val="0"/>
          <w:iCs w:val="0"/>
          <w:sz w:val="28"/>
          <w:szCs w:val="28"/>
          <w:highlight w:val="none"/>
        </w:rPr>
        <w:fldChar w:fldCharType="separate"/>
      </w:r>
      <w:r>
        <w:rPr>
          <w:i w:val="0"/>
          <w:iCs w:val="0"/>
          <w:sz w:val="28"/>
          <w:szCs w:val="28"/>
          <w:highlight w:val="none"/>
        </w:rPr>
        <w:t>- 25 -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588D403C">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_Toc19648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lang w:val="en-US" w:eastAsia="zh-CN"/>
        </w:rPr>
        <w:t xml:space="preserve">第七节 </w:t>
      </w:r>
      <w:r>
        <w:rPr>
          <w:rFonts w:hint="eastAsia"/>
          <w:i w:val="0"/>
          <w:iCs w:val="0"/>
          <w:sz w:val="28"/>
          <w:szCs w:val="28"/>
          <w:highlight w:val="none"/>
          <w:lang w:val="en-US" w:eastAsia="zh-CN"/>
        </w:rPr>
        <w:t>推行绿色低碳生活方式</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_Toc19648 \h </w:instrText>
      </w:r>
      <w:r>
        <w:rPr>
          <w:i w:val="0"/>
          <w:iCs w:val="0"/>
          <w:sz w:val="28"/>
          <w:szCs w:val="28"/>
          <w:highlight w:val="none"/>
        </w:rPr>
        <w:fldChar w:fldCharType="separate"/>
      </w:r>
      <w:r>
        <w:rPr>
          <w:i w:val="0"/>
          <w:iCs w:val="0"/>
          <w:sz w:val="28"/>
          <w:szCs w:val="28"/>
          <w:highlight w:val="none"/>
        </w:rPr>
        <w:t>- 26 -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F952A01">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_Toc26714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第四章 </w:t>
      </w:r>
      <w:r>
        <w:rPr>
          <w:rFonts w:hint="eastAsia"/>
          <w:i w:val="0"/>
          <w:iCs w:val="0"/>
          <w:sz w:val="28"/>
          <w:szCs w:val="28"/>
          <w:highlight w:val="none"/>
        </w:rPr>
        <w:t>控制温室气体排放，积极应对气候变化</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_Toc26714 \h </w:instrText>
      </w:r>
      <w:r>
        <w:rPr>
          <w:i w:val="0"/>
          <w:iCs w:val="0"/>
          <w:sz w:val="28"/>
          <w:szCs w:val="28"/>
          <w:highlight w:val="none"/>
        </w:rPr>
        <w:fldChar w:fldCharType="separate"/>
      </w:r>
      <w:r>
        <w:rPr>
          <w:i w:val="0"/>
          <w:iCs w:val="0"/>
          <w:sz w:val="28"/>
          <w:szCs w:val="28"/>
          <w:highlight w:val="none"/>
        </w:rPr>
        <w:t>- 27 -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515626A">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_Toc3656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lang w:val="en-US" w:eastAsia="zh-CN"/>
        </w:rPr>
        <w:t>配合</w:t>
      </w:r>
      <w:r>
        <w:rPr>
          <w:rFonts w:hint="eastAsia"/>
          <w:i w:val="0"/>
          <w:iCs w:val="0"/>
          <w:sz w:val="28"/>
          <w:szCs w:val="28"/>
          <w:highlight w:val="none"/>
        </w:rPr>
        <w:t>开展碳排放达峰行动</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_Toc3656 \h </w:instrText>
      </w:r>
      <w:r>
        <w:rPr>
          <w:i w:val="0"/>
          <w:iCs w:val="0"/>
          <w:sz w:val="28"/>
          <w:szCs w:val="28"/>
          <w:highlight w:val="none"/>
        </w:rPr>
        <w:fldChar w:fldCharType="separate"/>
      </w:r>
      <w:r>
        <w:rPr>
          <w:i w:val="0"/>
          <w:iCs w:val="0"/>
          <w:sz w:val="28"/>
          <w:szCs w:val="28"/>
          <w:highlight w:val="none"/>
        </w:rPr>
        <w:t>- 27 -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64D18D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_Toc19455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积极适应气候变化</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_Toc19455 \h </w:instrText>
      </w:r>
      <w:r>
        <w:rPr>
          <w:i w:val="0"/>
          <w:iCs w:val="0"/>
          <w:sz w:val="28"/>
          <w:szCs w:val="28"/>
          <w:highlight w:val="none"/>
        </w:rPr>
        <w:fldChar w:fldCharType="separate"/>
      </w:r>
      <w:r>
        <w:rPr>
          <w:i w:val="0"/>
          <w:iCs w:val="0"/>
          <w:sz w:val="28"/>
          <w:szCs w:val="28"/>
          <w:highlight w:val="none"/>
        </w:rPr>
        <w:t>- 28 -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7BCB587">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_Toc30537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加强应对气候变化管理</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_Toc30537 \h </w:instrText>
      </w:r>
      <w:r>
        <w:rPr>
          <w:i w:val="0"/>
          <w:iCs w:val="0"/>
          <w:sz w:val="28"/>
          <w:szCs w:val="28"/>
          <w:highlight w:val="none"/>
        </w:rPr>
        <w:fldChar w:fldCharType="separate"/>
      </w:r>
      <w:r>
        <w:rPr>
          <w:i w:val="0"/>
          <w:iCs w:val="0"/>
          <w:sz w:val="28"/>
          <w:szCs w:val="28"/>
          <w:highlight w:val="none"/>
        </w:rPr>
        <w:t>- 29 -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3892AB6">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_Toc12107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第五章 </w:t>
      </w:r>
      <w:r>
        <w:rPr>
          <w:rFonts w:hint="eastAsia"/>
          <w:i w:val="0"/>
          <w:iCs w:val="0"/>
          <w:sz w:val="28"/>
          <w:szCs w:val="28"/>
          <w:highlight w:val="none"/>
        </w:rPr>
        <w:t>加强协同控制，持续改善大气环境</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_Toc12107 \h </w:instrText>
      </w:r>
      <w:r>
        <w:rPr>
          <w:i w:val="0"/>
          <w:iCs w:val="0"/>
          <w:sz w:val="28"/>
          <w:szCs w:val="28"/>
          <w:highlight w:val="none"/>
        </w:rPr>
        <w:fldChar w:fldCharType="separate"/>
      </w:r>
      <w:r>
        <w:rPr>
          <w:i w:val="0"/>
          <w:iCs w:val="0"/>
          <w:sz w:val="28"/>
          <w:szCs w:val="28"/>
          <w:highlight w:val="none"/>
        </w:rPr>
        <w:t>- 31 -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5BE3EF7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_Toc25621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开展多污染物协同控制</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_Toc25621 \h </w:instrText>
      </w:r>
      <w:r>
        <w:rPr>
          <w:i w:val="0"/>
          <w:iCs w:val="0"/>
          <w:sz w:val="28"/>
          <w:szCs w:val="28"/>
          <w:highlight w:val="none"/>
        </w:rPr>
        <w:fldChar w:fldCharType="separate"/>
      </w:r>
      <w:r>
        <w:rPr>
          <w:i w:val="0"/>
          <w:iCs w:val="0"/>
          <w:sz w:val="28"/>
          <w:szCs w:val="28"/>
          <w:highlight w:val="none"/>
        </w:rPr>
        <w:t>- 31 -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1368AAE9">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_Toc20471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持续推进重点污染源治理</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_Toc20471 \h </w:instrText>
      </w:r>
      <w:r>
        <w:rPr>
          <w:i w:val="0"/>
          <w:iCs w:val="0"/>
          <w:sz w:val="28"/>
          <w:szCs w:val="28"/>
          <w:highlight w:val="none"/>
        </w:rPr>
        <w:fldChar w:fldCharType="separate"/>
      </w:r>
      <w:r>
        <w:rPr>
          <w:i w:val="0"/>
          <w:iCs w:val="0"/>
          <w:sz w:val="28"/>
          <w:szCs w:val="28"/>
          <w:highlight w:val="none"/>
        </w:rPr>
        <w:t>- 32 -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5C441C1C">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_Toc19333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加强重污染天气应急响应</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_Toc19333 \h </w:instrText>
      </w:r>
      <w:r>
        <w:rPr>
          <w:i w:val="0"/>
          <w:iCs w:val="0"/>
          <w:sz w:val="28"/>
          <w:szCs w:val="28"/>
          <w:highlight w:val="none"/>
        </w:rPr>
        <w:fldChar w:fldCharType="separate"/>
      </w:r>
      <w:r>
        <w:rPr>
          <w:i w:val="0"/>
          <w:iCs w:val="0"/>
          <w:sz w:val="28"/>
          <w:szCs w:val="28"/>
          <w:highlight w:val="none"/>
        </w:rPr>
        <w:t>- 33 -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7A40E0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_Toc16750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第四节 </w:t>
      </w:r>
      <w:r>
        <w:rPr>
          <w:rFonts w:hint="eastAsia"/>
          <w:i w:val="0"/>
          <w:iCs w:val="0"/>
          <w:sz w:val="28"/>
          <w:szCs w:val="28"/>
          <w:highlight w:val="none"/>
        </w:rPr>
        <w:t>强化声环境质量管理</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_Toc16750 \h </w:instrText>
      </w:r>
      <w:r>
        <w:rPr>
          <w:i w:val="0"/>
          <w:iCs w:val="0"/>
          <w:sz w:val="28"/>
          <w:szCs w:val="28"/>
          <w:highlight w:val="none"/>
        </w:rPr>
        <w:fldChar w:fldCharType="separate"/>
      </w:r>
      <w:r>
        <w:rPr>
          <w:i w:val="0"/>
          <w:iCs w:val="0"/>
          <w:sz w:val="28"/>
          <w:szCs w:val="28"/>
          <w:highlight w:val="none"/>
        </w:rPr>
        <w:t>- 34 -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778D733B">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_Toc31258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第六章 </w:t>
      </w:r>
      <w:r>
        <w:rPr>
          <w:rFonts w:hint="eastAsia"/>
          <w:i w:val="0"/>
          <w:iCs w:val="0"/>
          <w:sz w:val="28"/>
          <w:szCs w:val="28"/>
          <w:highlight w:val="none"/>
        </w:rPr>
        <w:t>深化统筹治理，稳步改善水生态环境</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_Toc31258 \h </w:instrText>
      </w:r>
      <w:r>
        <w:rPr>
          <w:i w:val="0"/>
          <w:iCs w:val="0"/>
          <w:sz w:val="28"/>
          <w:szCs w:val="28"/>
          <w:highlight w:val="none"/>
        </w:rPr>
        <w:fldChar w:fldCharType="separate"/>
      </w:r>
      <w:r>
        <w:rPr>
          <w:i w:val="0"/>
          <w:iCs w:val="0"/>
          <w:sz w:val="28"/>
          <w:szCs w:val="28"/>
          <w:highlight w:val="none"/>
        </w:rPr>
        <w:t>- 35 -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A196B8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_Toc18720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开展水生态保护修复</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_Toc18720 \h </w:instrText>
      </w:r>
      <w:r>
        <w:rPr>
          <w:i w:val="0"/>
          <w:iCs w:val="0"/>
          <w:sz w:val="28"/>
          <w:szCs w:val="28"/>
          <w:highlight w:val="none"/>
        </w:rPr>
        <w:fldChar w:fldCharType="separate"/>
      </w:r>
      <w:r>
        <w:rPr>
          <w:i w:val="0"/>
          <w:iCs w:val="0"/>
          <w:sz w:val="28"/>
          <w:szCs w:val="28"/>
          <w:highlight w:val="none"/>
        </w:rPr>
        <w:t>- 35 -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1AF43D0">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_Toc18387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持续深化“多源”同治</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_Toc18387 \h </w:instrText>
      </w:r>
      <w:r>
        <w:rPr>
          <w:i w:val="0"/>
          <w:iCs w:val="0"/>
          <w:sz w:val="28"/>
          <w:szCs w:val="28"/>
          <w:highlight w:val="none"/>
        </w:rPr>
        <w:fldChar w:fldCharType="separate"/>
      </w:r>
      <w:r>
        <w:rPr>
          <w:i w:val="0"/>
          <w:iCs w:val="0"/>
          <w:sz w:val="28"/>
          <w:szCs w:val="28"/>
          <w:highlight w:val="none"/>
        </w:rPr>
        <w:t>- 35 -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A0B489B">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_Toc2265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第七章 </w:t>
      </w:r>
      <w:r>
        <w:rPr>
          <w:rFonts w:hint="eastAsia"/>
          <w:i w:val="0"/>
          <w:iCs w:val="0"/>
          <w:sz w:val="28"/>
          <w:szCs w:val="28"/>
          <w:highlight w:val="none"/>
        </w:rPr>
        <w:t>加强系统防控，提升土壤环境质量安全</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_Toc2265 \h </w:instrText>
      </w:r>
      <w:r>
        <w:rPr>
          <w:i w:val="0"/>
          <w:iCs w:val="0"/>
          <w:sz w:val="28"/>
          <w:szCs w:val="28"/>
          <w:highlight w:val="none"/>
        </w:rPr>
        <w:fldChar w:fldCharType="separate"/>
      </w:r>
      <w:r>
        <w:rPr>
          <w:i w:val="0"/>
          <w:iCs w:val="0"/>
          <w:sz w:val="28"/>
          <w:szCs w:val="28"/>
          <w:highlight w:val="none"/>
        </w:rPr>
        <w:t>- 37 -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72EB6F4">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_Toc19733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加强土壤生态环境保护</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_Toc19733 \h </w:instrText>
      </w:r>
      <w:r>
        <w:rPr>
          <w:i w:val="0"/>
          <w:iCs w:val="0"/>
          <w:sz w:val="28"/>
          <w:szCs w:val="28"/>
          <w:highlight w:val="none"/>
        </w:rPr>
        <w:fldChar w:fldCharType="separate"/>
      </w:r>
      <w:r>
        <w:rPr>
          <w:i w:val="0"/>
          <w:iCs w:val="0"/>
          <w:sz w:val="28"/>
          <w:szCs w:val="28"/>
          <w:highlight w:val="none"/>
        </w:rPr>
        <w:t>- 37 -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31C7BF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_Toc28257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配合上级积极推进地下水生态环境保护</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_Toc28257 \h </w:instrText>
      </w:r>
      <w:r>
        <w:rPr>
          <w:i w:val="0"/>
          <w:iCs w:val="0"/>
          <w:sz w:val="28"/>
          <w:szCs w:val="28"/>
          <w:highlight w:val="none"/>
        </w:rPr>
        <w:fldChar w:fldCharType="separate"/>
      </w:r>
      <w:r>
        <w:rPr>
          <w:i w:val="0"/>
          <w:iCs w:val="0"/>
          <w:sz w:val="28"/>
          <w:szCs w:val="28"/>
          <w:highlight w:val="none"/>
        </w:rPr>
        <w:t>- 37 -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211FFC5">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_Toc29873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第八章 </w:t>
      </w:r>
      <w:r>
        <w:rPr>
          <w:rFonts w:hint="eastAsia"/>
          <w:i w:val="0"/>
          <w:iCs w:val="0"/>
          <w:sz w:val="28"/>
          <w:szCs w:val="28"/>
          <w:highlight w:val="none"/>
        </w:rPr>
        <w:t>加强生态监管，筑牢生态安全屏障</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_Toc29873 \h </w:instrText>
      </w:r>
      <w:r>
        <w:rPr>
          <w:i w:val="0"/>
          <w:iCs w:val="0"/>
          <w:sz w:val="28"/>
          <w:szCs w:val="28"/>
          <w:highlight w:val="none"/>
        </w:rPr>
        <w:fldChar w:fldCharType="separate"/>
      </w:r>
      <w:r>
        <w:rPr>
          <w:i w:val="0"/>
          <w:iCs w:val="0"/>
          <w:sz w:val="28"/>
          <w:szCs w:val="28"/>
          <w:highlight w:val="none"/>
        </w:rPr>
        <w:t>- 39 -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15EC22B3">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_Toc18074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lang w:val="en-US" w:eastAsia="zh-CN"/>
        </w:rPr>
        <w:t>加强生态保护红线监管</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_Toc18074 \h </w:instrText>
      </w:r>
      <w:r>
        <w:rPr>
          <w:i w:val="0"/>
          <w:iCs w:val="0"/>
          <w:sz w:val="28"/>
          <w:szCs w:val="28"/>
          <w:highlight w:val="none"/>
        </w:rPr>
        <w:fldChar w:fldCharType="separate"/>
      </w:r>
      <w:r>
        <w:rPr>
          <w:i w:val="0"/>
          <w:iCs w:val="0"/>
          <w:sz w:val="28"/>
          <w:szCs w:val="28"/>
          <w:highlight w:val="none"/>
        </w:rPr>
        <w:t>- 39 -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B336C4D">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_Toc30722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lang w:val="en-US" w:eastAsia="zh-CN"/>
        </w:rPr>
        <w:t xml:space="preserve">第二节 </w:t>
      </w:r>
      <w:r>
        <w:rPr>
          <w:rFonts w:hint="eastAsia"/>
          <w:i w:val="0"/>
          <w:iCs w:val="0"/>
          <w:sz w:val="28"/>
          <w:szCs w:val="28"/>
          <w:highlight w:val="none"/>
          <w:lang w:val="en-US" w:eastAsia="zh-CN"/>
        </w:rPr>
        <w:t>推进生态系统保护修复</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_Toc30722 \h </w:instrText>
      </w:r>
      <w:r>
        <w:rPr>
          <w:i w:val="0"/>
          <w:iCs w:val="0"/>
          <w:sz w:val="28"/>
          <w:szCs w:val="28"/>
          <w:highlight w:val="none"/>
        </w:rPr>
        <w:fldChar w:fldCharType="separate"/>
      </w:r>
      <w:r>
        <w:rPr>
          <w:i w:val="0"/>
          <w:iCs w:val="0"/>
          <w:sz w:val="28"/>
          <w:szCs w:val="28"/>
          <w:highlight w:val="none"/>
        </w:rPr>
        <w:t>- 39 -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7731235B">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_Toc11602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第九章 </w:t>
      </w:r>
      <w:r>
        <w:rPr>
          <w:rFonts w:hint="eastAsia"/>
          <w:i w:val="0"/>
          <w:iCs w:val="0"/>
          <w:sz w:val="28"/>
          <w:szCs w:val="28"/>
          <w:highlight w:val="none"/>
        </w:rPr>
        <w:t>强化风险防控，有效防范环境风险</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_Toc11602 \h </w:instrText>
      </w:r>
      <w:r>
        <w:rPr>
          <w:i w:val="0"/>
          <w:iCs w:val="0"/>
          <w:sz w:val="28"/>
          <w:szCs w:val="28"/>
          <w:highlight w:val="none"/>
        </w:rPr>
        <w:fldChar w:fldCharType="separate"/>
      </w:r>
      <w:r>
        <w:rPr>
          <w:i w:val="0"/>
          <w:iCs w:val="0"/>
          <w:sz w:val="28"/>
          <w:szCs w:val="28"/>
          <w:highlight w:val="none"/>
        </w:rPr>
        <w:t>- 40 -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2EB2E41">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_Toc13309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提升危险废物处理处置及监管能力</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_Toc13309 \h </w:instrText>
      </w:r>
      <w:r>
        <w:rPr>
          <w:i w:val="0"/>
          <w:iCs w:val="0"/>
          <w:sz w:val="28"/>
          <w:szCs w:val="28"/>
          <w:highlight w:val="none"/>
        </w:rPr>
        <w:fldChar w:fldCharType="separate"/>
      </w:r>
      <w:r>
        <w:rPr>
          <w:i w:val="0"/>
          <w:iCs w:val="0"/>
          <w:sz w:val="28"/>
          <w:szCs w:val="28"/>
          <w:highlight w:val="none"/>
        </w:rPr>
        <w:t>- 40 -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BDE25A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_Toc25242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强化重金属污染防治</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_Toc25242 \h </w:instrText>
      </w:r>
      <w:r>
        <w:rPr>
          <w:i w:val="0"/>
          <w:iCs w:val="0"/>
          <w:sz w:val="28"/>
          <w:szCs w:val="28"/>
          <w:highlight w:val="none"/>
        </w:rPr>
        <w:fldChar w:fldCharType="separate"/>
      </w:r>
      <w:r>
        <w:rPr>
          <w:i w:val="0"/>
          <w:iCs w:val="0"/>
          <w:sz w:val="28"/>
          <w:szCs w:val="28"/>
          <w:highlight w:val="none"/>
        </w:rPr>
        <w:t>- 41 -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5F1424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_Toc15393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推进其他固体废物利用处置</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_Toc15393 \h </w:instrText>
      </w:r>
      <w:r>
        <w:rPr>
          <w:i w:val="0"/>
          <w:iCs w:val="0"/>
          <w:sz w:val="28"/>
          <w:szCs w:val="28"/>
          <w:highlight w:val="none"/>
        </w:rPr>
        <w:fldChar w:fldCharType="separate"/>
      </w:r>
      <w:r>
        <w:rPr>
          <w:i w:val="0"/>
          <w:iCs w:val="0"/>
          <w:sz w:val="28"/>
          <w:szCs w:val="28"/>
          <w:highlight w:val="none"/>
        </w:rPr>
        <w:t>- 42 -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E7BFD10">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_Toc19003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第四节 </w:t>
      </w:r>
      <w:r>
        <w:rPr>
          <w:rFonts w:hint="eastAsia"/>
          <w:i w:val="0"/>
          <w:iCs w:val="0"/>
          <w:sz w:val="28"/>
          <w:szCs w:val="28"/>
          <w:highlight w:val="none"/>
          <w:lang w:val="en-US" w:eastAsia="zh-CN"/>
        </w:rPr>
        <w:t>配合上级</w:t>
      </w:r>
      <w:r>
        <w:rPr>
          <w:rFonts w:hint="eastAsia"/>
          <w:i w:val="0"/>
          <w:iCs w:val="0"/>
          <w:sz w:val="28"/>
          <w:szCs w:val="28"/>
          <w:highlight w:val="none"/>
        </w:rPr>
        <w:t>加大</w:t>
      </w:r>
      <w:r>
        <w:rPr>
          <w:rFonts w:hint="eastAsia"/>
          <w:i w:val="0"/>
          <w:iCs w:val="0"/>
          <w:sz w:val="28"/>
          <w:szCs w:val="28"/>
          <w:highlight w:val="none"/>
          <w:lang w:val="en-US" w:eastAsia="zh-CN"/>
        </w:rPr>
        <w:t>新污染物基础调查及排放控制</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_Toc19003 \h </w:instrText>
      </w:r>
      <w:r>
        <w:rPr>
          <w:i w:val="0"/>
          <w:iCs w:val="0"/>
          <w:sz w:val="28"/>
          <w:szCs w:val="28"/>
          <w:highlight w:val="none"/>
        </w:rPr>
        <w:fldChar w:fldCharType="separate"/>
      </w:r>
      <w:r>
        <w:rPr>
          <w:i w:val="0"/>
          <w:iCs w:val="0"/>
          <w:sz w:val="28"/>
          <w:szCs w:val="28"/>
          <w:highlight w:val="none"/>
        </w:rPr>
        <w:t>- 43 -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1BE2C9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_Toc6685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第五节 </w:t>
      </w:r>
      <w:r>
        <w:rPr>
          <w:rFonts w:hint="eastAsia"/>
          <w:i w:val="0"/>
          <w:iCs w:val="0"/>
          <w:sz w:val="28"/>
          <w:szCs w:val="28"/>
          <w:highlight w:val="none"/>
        </w:rPr>
        <w:t>强化环境预警防控与应急</w:t>
      </w:r>
      <w:r>
        <w:rPr>
          <w:rFonts w:hint="eastAsia"/>
          <w:i w:val="0"/>
          <w:iCs w:val="0"/>
          <w:sz w:val="28"/>
          <w:szCs w:val="28"/>
          <w:highlight w:val="none"/>
          <w:lang w:val="en-US" w:eastAsia="zh-CN"/>
        </w:rPr>
        <w:t>管理</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_Toc6685 \h </w:instrText>
      </w:r>
      <w:r>
        <w:rPr>
          <w:i w:val="0"/>
          <w:iCs w:val="0"/>
          <w:sz w:val="28"/>
          <w:szCs w:val="28"/>
          <w:highlight w:val="none"/>
        </w:rPr>
        <w:fldChar w:fldCharType="separate"/>
      </w:r>
      <w:r>
        <w:rPr>
          <w:i w:val="0"/>
          <w:iCs w:val="0"/>
          <w:sz w:val="28"/>
          <w:szCs w:val="28"/>
          <w:highlight w:val="none"/>
        </w:rPr>
        <w:t>- 43 -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29540E25">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_Toc20373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第十章 </w:t>
      </w:r>
      <w:r>
        <w:rPr>
          <w:rFonts w:hint="eastAsia"/>
          <w:i w:val="0"/>
          <w:iCs w:val="0"/>
          <w:sz w:val="28"/>
          <w:szCs w:val="28"/>
          <w:highlight w:val="none"/>
        </w:rPr>
        <w:t>深化改革创新，构建现代环境治理体系</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_Toc20373 \h </w:instrText>
      </w:r>
      <w:r>
        <w:rPr>
          <w:i w:val="0"/>
          <w:iCs w:val="0"/>
          <w:sz w:val="28"/>
          <w:szCs w:val="28"/>
          <w:highlight w:val="none"/>
        </w:rPr>
        <w:fldChar w:fldCharType="separate"/>
      </w:r>
      <w:r>
        <w:rPr>
          <w:i w:val="0"/>
          <w:iCs w:val="0"/>
          <w:sz w:val="28"/>
          <w:szCs w:val="28"/>
          <w:highlight w:val="none"/>
        </w:rPr>
        <w:t>- 45 -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20CF53C">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_Toc17606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lang w:val="en-US" w:eastAsia="zh-CN"/>
        </w:rPr>
        <w:t>创新</w:t>
      </w:r>
      <w:r>
        <w:rPr>
          <w:rFonts w:hint="eastAsia"/>
          <w:i w:val="0"/>
          <w:iCs w:val="0"/>
          <w:sz w:val="28"/>
          <w:szCs w:val="28"/>
          <w:highlight w:val="none"/>
        </w:rPr>
        <w:t>生态环境管理模式</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_Toc17606 \h </w:instrText>
      </w:r>
      <w:r>
        <w:rPr>
          <w:i w:val="0"/>
          <w:iCs w:val="0"/>
          <w:sz w:val="28"/>
          <w:szCs w:val="28"/>
          <w:highlight w:val="none"/>
        </w:rPr>
        <w:fldChar w:fldCharType="separate"/>
      </w:r>
      <w:r>
        <w:rPr>
          <w:i w:val="0"/>
          <w:iCs w:val="0"/>
          <w:sz w:val="28"/>
          <w:szCs w:val="28"/>
          <w:highlight w:val="none"/>
        </w:rPr>
        <w:t>- 45 -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91F77C3">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_Toc21909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rPr>
        <w:t>完善生态环境制度建设</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_Toc21909 \h </w:instrText>
      </w:r>
      <w:r>
        <w:rPr>
          <w:i w:val="0"/>
          <w:iCs w:val="0"/>
          <w:sz w:val="28"/>
          <w:szCs w:val="28"/>
          <w:highlight w:val="none"/>
        </w:rPr>
        <w:fldChar w:fldCharType="separate"/>
      </w:r>
      <w:r>
        <w:rPr>
          <w:i w:val="0"/>
          <w:iCs w:val="0"/>
          <w:sz w:val="28"/>
          <w:szCs w:val="28"/>
          <w:highlight w:val="none"/>
        </w:rPr>
        <w:t>- 46 -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FC4818E">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_Toc32375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rPr>
        <w:t>完善生态环境执法体系建设</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_Toc32375 \h </w:instrText>
      </w:r>
      <w:r>
        <w:rPr>
          <w:i w:val="0"/>
          <w:iCs w:val="0"/>
          <w:sz w:val="28"/>
          <w:szCs w:val="28"/>
          <w:highlight w:val="none"/>
        </w:rPr>
        <w:fldChar w:fldCharType="separate"/>
      </w:r>
      <w:r>
        <w:rPr>
          <w:i w:val="0"/>
          <w:iCs w:val="0"/>
          <w:sz w:val="28"/>
          <w:szCs w:val="28"/>
          <w:highlight w:val="none"/>
        </w:rPr>
        <w:t>- 48 -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1E88F1FE">
      <w:pPr>
        <w:pStyle w:val="24"/>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_Toc11411 </w:instrText>
      </w:r>
      <w:r>
        <w:rPr>
          <w:rFonts w:ascii="黑体" w:hAnsi="黑体" w:eastAsia="黑体" w:cs="黑体"/>
          <w:i w:val="0"/>
          <w:iCs w:val="0"/>
          <w:sz w:val="28"/>
          <w:szCs w:val="28"/>
          <w:highlight w:val="none"/>
        </w:rPr>
        <w:fldChar w:fldCharType="separate"/>
      </w:r>
      <w:r>
        <w:rPr>
          <w:rFonts w:hint="eastAsia" w:ascii="宋体" w:hAnsi="宋体" w:eastAsia="黑体" w:cs="宋体"/>
          <w:i w:val="0"/>
          <w:iCs w:val="0"/>
          <w:sz w:val="28"/>
          <w:szCs w:val="28"/>
          <w:highlight w:val="none"/>
        </w:rPr>
        <w:t xml:space="preserve">第十一章 </w:t>
      </w:r>
      <w:r>
        <w:rPr>
          <w:rFonts w:hint="eastAsia"/>
          <w:i w:val="0"/>
          <w:iCs w:val="0"/>
          <w:sz w:val="28"/>
          <w:szCs w:val="28"/>
          <w:highlight w:val="none"/>
        </w:rPr>
        <w:t>强化规划</w:t>
      </w:r>
      <w:r>
        <w:rPr>
          <w:i w:val="0"/>
          <w:iCs w:val="0"/>
          <w:sz w:val="28"/>
          <w:szCs w:val="28"/>
          <w:highlight w:val="none"/>
        </w:rPr>
        <w:t>保障措施</w:t>
      </w:r>
      <w:r>
        <w:rPr>
          <w:rFonts w:hint="eastAsia"/>
          <w:i w:val="0"/>
          <w:iCs w:val="0"/>
          <w:sz w:val="28"/>
          <w:szCs w:val="28"/>
          <w:highlight w:val="none"/>
        </w:rPr>
        <w:t>，确保规划顺利实施</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_Toc11411 \h </w:instrText>
      </w:r>
      <w:r>
        <w:rPr>
          <w:i w:val="0"/>
          <w:iCs w:val="0"/>
          <w:sz w:val="28"/>
          <w:szCs w:val="28"/>
          <w:highlight w:val="none"/>
        </w:rPr>
        <w:fldChar w:fldCharType="separate"/>
      </w:r>
      <w:r>
        <w:rPr>
          <w:i w:val="0"/>
          <w:iCs w:val="0"/>
          <w:sz w:val="28"/>
          <w:szCs w:val="28"/>
          <w:highlight w:val="none"/>
        </w:rPr>
        <w:t>- 50 -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091E550C">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_Toc14310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第一节 </w:t>
      </w:r>
      <w:r>
        <w:rPr>
          <w:rFonts w:hint="eastAsia"/>
          <w:i w:val="0"/>
          <w:iCs w:val="0"/>
          <w:sz w:val="28"/>
          <w:szCs w:val="28"/>
          <w:highlight w:val="none"/>
        </w:rPr>
        <w:t>加强组织领导</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_Toc14310 \h </w:instrText>
      </w:r>
      <w:r>
        <w:rPr>
          <w:i w:val="0"/>
          <w:iCs w:val="0"/>
          <w:sz w:val="28"/>
          <w:szCs w:val="28"/>
          <w:highlight w:val="none"/>
        </w:rPr>
        <w:fldChar w:fldCharType="separate"/>
      </w:r>
      <w:r>
        <w:rPr>
          <w:i w:val="0"/>
          <w:iCs w:val="0"/>
          <w:sz w:val="28"/>
          <w:szCs w:val="28"/>
          <w:highlight w:val="none"/>
        </w:rPr>
        <w:t>- 50 -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635B5DFD">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_Toc32535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第二节 </w:t>
      </w:r>
      <w:r>
        <w:rPr>
          <w:rFonts w:hint="eastAsia"/>
          <w:i w:val="0"/>
          <w:iCs w:val="0"/>
          <w:sz w:val="28"/>
          <w:szCs w:val="28"/>
          <w:highlight w:val="none"/>
          <w:lang w:val="en-US" w:eastAsia="zh-CN"/>
        </w:rPr>
        <w:t>落实资金保障</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_Toc32535 \h </w:instrText>
      </w:r>
      <w:r>
        <w:rPr>
          <w:i w:val="0"/>
          <w:iCs w:val="0"/>
          <w:sz w:val="28"/>
          <w:szCs w:val="28"/>
          <w:highlight w:val="none"/>
        </w:rPr>
        <w:fldChar w:fldCharType="separate"/>
      </w:r>
      <w:r>
        <w:rPr>
          <w:i w:val="0"/>
          <w:iCs w:val="0"/>
          <w:sz w:val="28"/>
          <w:szCs w:val="28"/>
          <w:highlight w:val="none"/>
        </w:rPr>
        <w:t>- 50 -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48BF10F5">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_Toc24022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第三节 </w:t>
      </w:r>
      <w:r>
        <w:rPr>
          <w:rFonts w:hint="eastAsia"/>
          <w:i w:val="0"/>
          <w:iCs w:val="0"/>
          <w:sz w:val="28"/>
          <w:szCs w:val="28"/>
          <w:highlight w:val="none"/>
          <w:lang w:val="en-US" w:eastAsia="zh-CN"/>
        </w:rPr>
        <w:t>强化监管与考核</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_Toc24022 \h </w:instrText>
      </w:r>
      <w:r>
        <w:rPr>
          <w:i w:val="0"/>
          <w:iCs w:val="0"/>
          <w:sz w:val="28"/>
          <w:szCs w:val="28"/>
          <w:highlight w:val="none"/>
        </w:rPr>
        <w:fldChar w:fldCharType="separate"/>
      </w:r>
      <w:r>
        <w:rPr>
          <w:i w:val="0"/>
          <w:iCs w:val="0"/>
          <w:sz w:val="28"/>
          <w:szCs w:val="28"/>
          <w:highlight w:val="none"/>
        </w:rPr>
        <w:t>- 50 -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E76A198">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i w:val="0"/>
          <w:iCs w:val="0"/>
          <w:sz w:val="28"/>
          <w:szCs w:val="28"/>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_Toc18167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第四节 </w:t>
      </w:r>
      <w:r>
        <w:rPr>
          <w:rFonts w:hint="eastAsia"/>
          <w:i w:val="0"/>
          <w:iCs w:val="0"/>
          <w:sz w:val="28"/>
          <w:szCs w:val="28"/>
          <w:highlight w:val="none"/>
        </w:rPr>
        <w:t>强化人才保障</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_Toc18167 \h </w:instrText>
      </w:r>
      <w:r>
        <w:rPr>
          <w:i w:val="0"/>
          <w:iCs w:val="0"/>
          <w:sz w:val="28"/>
          <w:szCs w:val="28"/>
          <w:highlight w:val="none"/>
        </w:rPr>
        <w:fldChar w:fldCharType="separate"/>
      </w:r>
      <w:r>
        <w:rPr>
          <w:i w:val="0"/>
          <w:iCs w:val="0"/>
          <w:sz w:val="28"/>
          <w:szCs w:val="28"/>
          <w:highlight w:val="none"/>
        </w:rPr>
        <w:t>- 51 -</w:t>
      </w:r>
      <w:r>
        <w:rPr>
          <w:i w:val="0"/>
          <w:iCs w:val="0"/>
          <w:sz w:val="28"/>
          <w:szCs w:val="28"/>
          <w:highlight w:val="none"/>
        </w:rPr>
        <w:fldChar w:fldCharType="end"/>
      </w:r>
      <w:r>
        <w:rPr>
          <w:rFonts w:ascii="黑体" w:hAnsi="黑体" w:eastAsia="黑体" w:cs="黑体"/>
          <w:i w:val="0"/>
          <w:iCs w:val="0"/>
          <w:sz w:val="28"/>
          <w:szCs w:val="28"/>
          <w:highlight w:val="none"/>
        </w:rPr>
        <w:fldChar w:fldCharType="end"/>
      </w:r>
    </w:p>
    <w:p w14:paraId="319F1B12">
      <w:pPr>
        <w:pStyle w:val="27"/>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ascii="黑体" w:hAnsi="黑体" w:eastAsia="黑体" w:cs="黑体"/>
          <w:sz w:val="44"/>
          <w:szCs w:val="44"/>
          <w:highlight w:val="none"/>
        </w:rPr>
      </w:pPr>
      <w:r>
        <w:rPr>
          <w:rFonts w:ascii="黑体" w:hAnsi="黑体" w:eastAsia="黑体" w:cs="黑体"/>
          <w:i w:val="0"/>
          <w:iCs w:val="0"/>
          <w:sz w:val="28"/>
          <w:szCs w:val="28"/>
          <w:highlight w:val="none"/>
        </w:rPr>
        <w:fldChar w:fldCharType="begin"/>
      </w:r>
      <w:r>
        <w:rPr>
          <w:rFonts w:ascii="黑体" w:hAnsi="黑体" w:eastAsia="黑体" w:cs="黑体"/>
          <w:i w:val="0"/>
          <w:iCs w:val="0"/>
          <w:sz w:val="28"/>
          <w:szCs w:val="28"/>
          <w:highlight w:val="none"/>
        </w:rPr>
        <w:instrText xml:space="preserve"> HYPERLINK \l _Toc6824 </w:instrText>
      </w:r>
      <w:r>
        <w:rPr>
          <w:rFonts w:ascii="黑体" w:hAnsi="黑体" w:eastAsia="黑体" w:cs="黑体"/>
          <w:i w:val="0"/>
          <w:iCs w:val="0"/>
          <w:sz w:val="28"/>
          <w:szCs w:val="28"/>
          <w:highlight w:val="none"/>
        </w:rPr>
        <w:fldChar w:fldCharType="separate"/>
      </w:r>
      <w:r>
        <w:rPr>
          <w:rFonts w:hint="eastAsia" w:ascii="宋体" w:hAnsi="宋体" w:eastAsia="楷体_GB2312" w:cs="宋体"/>
          <w:i w:val="0"/>
          <w:iCs w:val="0"/>
          <w:sz w:val="28"/>
          <w:szCs w:val="28"/>
          <w:highlight w:val="none"/>
        </w:rPr>
        <w:t xml:space="preserve">第五节 </w:t>
      </w:r>
      <w:r>
        <w:rPr>
          <w:rFonts w:hint="eastAsia"/>
          <w:i w:val="0"/>
          <w:iCs w:val="0"/>
          <w:sz w:val="28"/>
          <w:szCs w:val="28"/>
          <w:highlight w:val="none"/>
        </w:rPr>
        <w:t>强化社会监督</w:t>
      </w:r>
      <w:r>
        <w:rPr>
          <w:i w:val="0"/>
          <w:iCs w:val="0"/>
          <w:sz w:val="28"/>
          <w:szCs w:val="28"/>
          <w:highlight w:val="none"/>
        </w:rPr>
        <w:tab/>
      </w:r>
      <w:r>
        <w:rPr>
          <w:i w:val="0"/>
          <w:iCs w:val="0"/>
          <w:sz w:val="28"/>
          <w:szCs w:val="28"/>
          <w:highlight w:val="none"/>
        </w:rPr>
        <w:fldChar w:fldCharType="begin"/>
      </w:r>
      <w:r>
        <w:rPr>
          <w:i w:val="0"/>
          <w:iCs w:val="0"/>
          <w:sz w:val="28"/>
          <w:szCs w:val="28"/>
          <w:highlight w:val="none"/>
        </w:rPr>
        <w:instrText xml:space="preserve"> PAGEREF _Toc6824 \h </w:instrText>
      </w:r>
      <w:r>
        <w:rPr>
          <w:i w:val="0"/>
          <w:iCs w:val="0"/>
          <w:sz w:val="28"/>
          <w:szCs w:val="28"/>
          <w:highlight w:val="none"/>
        </w:rPr>
        <w:fldChar w:fldCharType="separate"/>
      </w:r>
      <w:r>
        <w:rPr>
          <w:i w:val="0"/>
          <w:iCs w:val="0"/>
          <w:sz w:val="28"/>
          <w:szCs w:val="28"/>
          <w:highlight w:val="none"/>
        </w:rPr>
        <w:t>- 51 -</w:t>
      </w:r>
      <w:r>
        <w:rPr>
          <w:i w:val="0"/>
          <w:iCs w:val="0"/>
          <w:sz w:val="28"/>
          <w:szCs w:val="28"/>
          <w:highlight w:val="none"/>
        </w:rPr>
        <w:fldChar w:fldCharType="end"/>
      </w:r>
      <w:r>
        <w:rPr>
          <w:rFonts w:ascii="黑体" w:hAnsi="黑体" w:eastAsia="黑体" w:cs="黑体"/>
          <w:i w:val="0"/>
          <w:iCs w:val="0"/>
          <w:sz w:val="28"/>
          <w:szCs w:val="28"/>
          <w:highlight w:val="none"/>
        </w:rPr>
        <w:fldChar w:fldCharType="end"/>
      </w:r>
      <w:r>
        <w:rPr>
          <w:rFonts w:ascii="黑体" w:hAnsi="黑体" w:eastAsia="黑体" w:cs="黑体"/>
          <w:i w:val="0"/>
          <w:iCs w:val="0"/>
          <w:sz w:val="28"/>
          <w:szCs w:val="28"/>
          <w:highlight w:val="none"/>
        </w:rPr>
        <w:fldChar w:fldCharType="end"/>
      </w:r>
    </w:p>
    <w:p w14:paraId="137960F2">
      <w:pPr>
        <w:keepNext w:val="0"/>
        <w:keepLines w:val="0"/>
        <w:pageBreakBefore w:val="0"/>
        <w:widowControl w:val="0"/>
        <w:kinsoku/>
        <w:wordWrap/>
        <w:overflowPunct/>
        <w:topLinePunct w:val="0"/>
        <w:autoSpaceDE/>
        <w:autoSpaceDN/>
        <w:bidi w:val="0"/>
        <w:adjustRightInd/>
        <w:snapToGrid/>
        <w:spacing w:after="312" w:afterLines="100"/>
        <w:ind w:firstLine="0" w:firstLineChars="0"/>
        <w:jc w:val="center"/>
        <w:textAlignment w:val="auto"/>
        <w:rPr>
          <w:rFonts w:cs="Times New Roman"/>
          <w:sz w:val="28"/>
          <w:szCs w:val="28"/>
          <w:highlight w:val="none"/>
        </w:rPr>
        <w:sectPr>
          <w:footerReference r:id="rId11" w:type="default"/>
          <w:pgSz w:w="11906" w:h="16838"/>
          <w:pgMar w:top="1440" w:right="1800" w:bottom="1440" w:left="1800" w:header="851" w:footer="992" w:gutter="0"/>
          <w:pgNumType w:fmt="upperRoman" w:start="1"/>
          <w:cols w:space="425" w:num="1"/>
          <w:docGrid w:type="lines" w:linePitch="312" w:charSpace="0"/>
        </w:sectPr>
      </w:pPr>
    </w:p>
    <w:p w14:paraId="71281FB9">
      <w:pPr>
        <w:pStyle w:val="8"/>
        <w:spacing w:before="312" w:after="312"/>
        <w:rPr>
          <w:highlight w:val="none"/>
        </w:rPr>
      </w:pPr>
      <w:bookmarkStart w:id="14" w:name="_Toc15928"/>
      <w:bookmarkStart w:id="15" w:name="_Toc88955303"/>
      <w:bookmarkStart w:id="16" w:name="_Toc88954760"/>
      <w:bookmarkStart w:id="17" w:name="_Toc9167"/>
      <w:bookmarkStart w:id="18" w:name="_Toc9446"/>
      <w:bookmarkStart w:id="19" w:name="_Toc88955488"/>
      <w:bookmarkStart w:id="20" w:name="_Toc19103"/>
      <w:bookmarkStart w:id="21" w:name="_Toc8321"/>
      <w:bookmarkStart w:id="22" w:name="_Toc88955326"/>
      <w:bookmarkStart w:id="23" w:name="_Toc31488"/>
      <w:bookmarkStart w:id="24" w:name="_Toc7480"/>
      <w:bookmarkStart w:id="25" w:name="_Toc18800"/>
      <w:bookmarkStart w:id="26" w:name="_Toc11441"/>
      <w:bookmarkStart w:id="27" w:name="_Toc10925"/>
      <w:bookmarkStart w:id="28" w:name="_Toc30869"/>
      <w:bookmarkStart w:id="29" w:name="_Toc25791"/>
      <w:bookmarkStart w:id="30" w:name="_Toc1361"/>
      <w:bookmarkStart w:id="31" w:name="_Toc27787"/>
      <w:bookmarkStart w:id="32" w:name="_Toc4597"/>
      <w:bookmarkStart w:id="33" w:name="_Toc23464"/>
      <w:bookmarkStart w:id="34" w:name="_Toc11180"/>
      <w:bookmarkStart w:id="35" w:name="_Toc31314"/>
      <w:bookmarkStart w:id="36" w:name="_Toc4298"/>
      <w:bookmarkStart w:id="37" w:name="_Toc27393"/>
      <w:bookmarkStart w:id="38" w:name="_Toc6014"/>
      <w:bookmarkStart w:id="39" w:name="_Toc88954783"/>
      <w:bookmarkStart w:id="40" w:name="_Toc13113"/>
      <w:bookmarkStart w:id="41" w:name="_Toc29419"/>
      <w:bookmarkStart w:id="42" w:name="_Toc21837"/>
      <w:bookmarkStart w:id="43" w:name="_Toc20294"/>
      <w:bookmarkStart w:id="44" w:name="_Toc11342"/>
      <w:bookmarkStart w:id="45" w:name="_Toc14085"/>
      <w:bookmarkStart w:id="46" w:name="_Toc867"/>
      <w:r>
        <w:rPr>
          <w:rFonts w:hint="eastAsia"/>
          <w:highlight w:val="none"/>
        </w:rPr>
        <w:t xml:space="preserve">前 </w:t>
      </w:r>
      <w:r>
        <w:rPr>
          <w:highlight w:val="none"/>
        </w:rPr>
        <w:t xml:space="preserve"> </w:t>
      </w:r>
      <w:r>
        <w:rPr>
          <w:rFonts w:hint="eastAsia"/>
          <w:highlight w:val="none"/>
        </w:rPr>
        <w:t>言</w:t>
      </w:r>
      <w:bookmarkEnd w:id="14"/>
      <w:bookmarkEnd w:id="15"/>
      <w:bookmarkEnd w:id="16"/>
      <w:bookmarkEnd w:id="17"/>
      <w:bookmarkEnd w:id="18"/>
      <w:bookmarkEnd w:id="19"/>
    </w:p>
    <w:p w14:paraId="6608E3AC">
      <w:pPr>
        <w:ind w:firstLine="640"/>
        <w:rPr>
          <w:highlight w:val="none"/>
        </w:rPr>
      </w:pPr>
      <w:r>
        <w:rPr>
          <w:rFonts w:hint="eastAsia"/>
          <w:highlight w:val="none"/>
        </w:rPr>
        <w:t>“十四五”时期（2021-2025年），是我国全面建成小康社会、实现第一个百年奋斗目标之后，乘势而上开启全面建设社会主义现代化国家新征程、向第二个百年奋斗目标进军的第一个五年，也是扎赉诺尔走好以生态优先、绿色发展为导向的高质量发展新路子，实现新的更大发展的关键时期。以习近平新时代中国特色社会主义思想为指导，全面贯彻党的十九大和十九届</w:t>
      </w:r>
      <w:r>
        <w:rPr>
          <w:rFonts w:hint="eastAsia"/>
          <w:highlight w:val="none"/>
          <w:lang w:val="en-US" w:eastAsia="zh-CN"/>
        </w:rPr>
        <w:t>历次</w:t>
      </w:r>
      <w:r>
        <w:rPr>
          <w:rFonts w:hint="eastAsia"/>
          <w:highlight w:val="none"/>
        </w:rPr>
        <w:t>全会精神，认真落实习近平生态文明思想和习近平总书记对内蒙古重要讲话重要指示批示精神，牢固树立“绿水青山就是金山银山”的理念，根据《内蒙古自治区“十四五”生态环境保护规划》、《呼伦贝尔市“十四五”生态环境保护规划（2021-2025）》、《呼伦贝尔市国民经济和社会发展第十四个五年规划和2035年远景目标纲要》以及《扎赉诺尔区国民经济和社会发展第十四个五年规划和2035年远景目标纲要》，编制《扎赉诺尔区“十四五”生态环境保护规划》（以下简称“规划”），作为</w:t>
      </w:r>
      <w:r>
        <w:rPr>
          <w:rFonts w:hint="eastAsia"/>
          <w:highlight w:val="none"/>
          <w:lang w:val="en-US" w:eastAsia="zh-CN"/>
        </w:rPr>
        <w:t>扎区</w:t>
      </w:r>
      <w:r>
        <w:rPr>
          <w:rFonts w:hint="eastAsia"/>
          <w:highlight w:val="none"/>
        </w:rPr>
        <w:t>“十四五”期间生态环境保护工作的行动纲领。</w:t>
      </w:r>
    </w:p>
    <w:p w14:paraId="3CFA46A4">
      <w:pPr>
        <w:ind w:firstLine="0" w:firstLineChars="0"/>
        <w:rPr>
          <w:highlight w:val="none"/>
        </w:rPr>
      </w:pPr>
    </w:p>
    <w:p w14:paraId="1F73CF64">
      <w:pPr>
        <w:ind w:firstLine="640"/>
        <w:rPr>
          <w:highlight w:val="none"/>
        </w:rPr>
        <w:sectPr>
          <w:footerReference r:id="rId12" w:type="default"/>
          <w:pgSz w:w="11906" w:h="16838"/>
          <w:pgMar w:top="1440" w:right="1800" w:bottom="1440" w:left="1800" w:header="851" w:footer="992" w:gutter="0"/>
          <w:pgNumType w:fmt="numberInDash" w:start="1"/>
          <w:cols w:space="425" w:num="1"/>
          <w:docGrid w:type="lines" w:linePitch="312" w:charSpace="0"/>
        </w:sectPr>
      </w:pPr>
    </w:p>
    <w:p w14:paraId="50B5FD84">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highlight w:val="none"/>
        </w:rPr>
      </w:pPr>
      <w:bookmarkStart w:id="47" w:name="_Toc4615"/>
      <w:bookmarkStart w:id="48" w:name="_Toc32322"/>
      <w:bookmarkStart w:id="49" w:name="_Toc88955304"/>
      <w:bookmarkStart w:id="50" w:name="_Toc88954761"/>
      <w:bookmarkStart w:id="51" w:name="_Toc4010"/>
      <w:r>
        <w:rPr>
          <w:rFonts w:hint="eastAsia"/>
          <w:highlight w:val="none"/>
        </w:rPr>
        <w:t>生态环境保护成就与形势</w:t>
      </w:r>
      <w:bookmarkEnd w:id="47"/>
      <w:bookmarkEnd w:id="48"/>
      <w:bookmarkEnd w:id="49"/>
      <w:bookmarkEnd w:id="50"/>
      <w:bookmarkEnd w:id="51"/>
    </w:p>
    <w:p w14:paraId="091F7437">
      <w:pPr>
        <w:ind w:firstLine="640"/>
        <w:rPr>
          <w:highlight w:val="none"/>
        </w:rPr>
      </w:pPr>
      <w:r>
        <w:rPr>
          <w:rFonts w:hint="eastAsia"/>
          <w:highlight w:val="none"/>
        </w:rPr>
        <w:t>生态兴则文明兴，生态衰则文明衰。党的十九大以来，扎赉诺尔区党委、政府始终牢记习近平总书记“努力把内蒙古建成我国北方重要生态安全屏障”的殷切嘱托，坚定不移贯彻国家、自治区、呼伦贝尔市生态文明建设和生态环境保护重大决策部署，坚持把生态文明建设作为统筹推进“五位一体”总体布局和协调</w:t>
      </w:r>
      <w:r>
        <w:rPr>
          <w:rFonts w:hint="eastAsia"/>
          <w:highlight w:val="none"/>
          <w:lang w:val="en-US" w:eastAsia="zh-CN"/>
        </w:rPr>
        <w:t>推进</w:t>
      </w:r>
      <w:r>
        <w:rPr>
          <w:rFonts w:hint="eastAsia"/>
          <w:highlight w:val="none"/>
        </w:rPr>
        <w:t>“四个全面”战略布局的重要内容，作为树牢“四个意识”</w:t>
      </w:r>
      <w:r>
        <w:rPr>
          <w:rFonts w:hint="eastAsia"/>
          <w:highlight w:val="none"/>
          <w:lang w:eastAsia="zh-CN"/>
        </w:rPr>
        <w:t>、</w:t>
      </w:r>
      <w:r>
        <w:rPr>
          <w:rFonts w:hint="eastAsia"/>
          <w:highlight w:val="none"/>
          <w:lang w:val="en-US" w:eastAsia="zh-CN"/>
        </w:rPr>
        <w:t>坚定“四个自信”、做到</w:t>
      </w:r>
      <w:r>
        <w:rPr>
          <w:rFonts w:hint="eastAsia"/>
          <w:highlight w:val="none"/>
        </w:rPr>
        <w:t>“两个维护”的具体行动，以绿色发展理念为引领，以改善生态环境质量为核心，以生态文明建设为保障，坚持问题和目标导向，认真落实各级大气、水、土壤污染防治行动计划与生态环境保护工作方案，对突出的生态环境隐患和问题重点推进，整体生态环境实现可见好转，美丽扎赉诺尔生态文明建设呈现出崭新局面。</w:t>
      </w:r>
    </w:p>
    <w:p w14:paraId="1F598E85">
      <w:pPr>
        <w:pStyle w:val="4"/>
        <w:keepNext w:val="0"/>
        <w:keepLines w:val="0"/>
        <w:pageBreakBefore w:val="0"/>
        <w:widowControl w:val="0"/>
        <w:kinsoku/>
        <w:wordWrap/>
        <w:overflowPunct/>
        <w:topLinePunct w:val="0"/>
        <w:autoSpaceDE/>
        <w:autoSpaceDN/>
        <w:bidi w:val="0"/>
        <w:adjustRightInd/>
        <w:snapToGrid/>
        <w:spacing w:before="313" w:beforeLines="100" w:after="313" w:afterLines="100"/>
        <w:ind w:left="0" w:leftChars="0" w:firstLine="0" w:firstLineChars="0"/>
        <w:textAlignment w:val="auto"/>
        <w:rPr>
          <w:highlight w:val="none"/>
        </w:rPr>
      </w:pPr>
      <w:bookmarkStart w:id="52" w:name="_Toc88954762"/>
      <w:bookmarkStart w:id="53" w:name="_Toc11499"/>
      <w:bookmarkStart w:id="54" w:name="_Toc88955305"/>
      <w:bookmarkStart w:id="55" w:name="_Toc12031"/>
      <w:bookmarkStart w:id="56" w:name="_Toc11079"/>
      <w:r>
        <w:rPr>
          <w:rFonts w:hint="eastAsia"/>
          <w:highlight w:val="none"/>
          <w:lang w:val="en-US" w:eastAsia="zh-CN"/>
        </w:rPr>
        <w:t>“十三五”</w:t>
      </w:r>
      <w:r>
        <w:rPr>
          <w:rFonts w:hint="eastAsia"/>
          <w:highlight w:val="none"/>
        </w:rPr>
        <w:t>工作回顾</w:t>
      </w:r>
      <w:bookmarkEnd w:id="52"/>
      <w:bookmarkEnd w:id="53"/>
      <w:bookmarkEnd w:id="54"/>
      <w:bookmarkEnd w:id="55"/>
      <w:bookmarkEnd w:id="56"/>
    </w:p>
    <w:p w14:paraId="0D6E7966">
      <w:pPr>
        <w:ind w:firstLine="640"/>
        <w:rPr>
          <w:highlight w:val="none"/>
        </w:rPr>
      </w:pPr>
      <w:r>
        <w:rPr>
          <w:rFonts w:hint="eastAsia"/>
          <w:highlight w:val="none"/>
        </w:rPr>
        <w:t>过去五年，扎赉诺尔区以习近平新时代中国特色社会主义思想为指导，深入贯彻党的十八大、十九大和十九届</w:t>
      </w:r>
      <w:r>
        <w:rPr>
          <w:rFonts w:hint="eastAsia"/>
          <w:highlight w:val="none"/>
          <w:lang w:val="en-US" w:eastAsia="zh-CN"/>
        </w:rPr>
        <w:t>历次</w:t>
      </w:r>
      <w:r>
        <w:rPr>
          <w:rFonts w:hint="eastAsia"/>
          <w:highlight w:val="none"/>
        </w:rPr>
        <w:t>全会精神，全面落实习近平总书记对内蒙古重要讲话和重要指示批示精神，坚定不移走以生态优先、绿色发展为导向的高质量发展新路子，加强生态环境保护，坚决打好污染防治攻坚战，在全区的共同努力下，污染防治攻坚战阶段性目标任务圆满完成，生态环境质量明显改善，人民群众的生态环境获得感显著增强，全面建成小康社会绿色底色和成色更加浓厚。</w:t>
      </w:r>
    </w:p>
    <w:p w14:paraId="75F4039A">
      <w:pPr>
        <w:pStyle w:val="5"/>
        <w:bidi w:val="0"/>
        <w:rPr>
          <w:highlight w:val="none"/>
        </w:rPr>
      </w:pPr>
      <w:bookmarkStart w:id="57" w:name="_Toc7400"/>
      <w:bookmarkStart w:id="58" w:name="_Toc88954763"/>
      <w:bookmarkStart w:id="59" w:name="_Toc88955306"/>
      <w:bookmarkStart w:id="60" w:name="_Toc29499"/>
      <w:bookmarkStart w:id="61" w:name="_Toc18548"/>
      <w:r>
        <w:rPr>
          <w:highlight w:val="none"/>
        </w:rPr>
        <w:t>生态文明制度建设取得积极进展</w:t>
      </w:r>
      <w:bookmarkEnd w:id="57"/>
      <w:bookmarkEnd w:id="58"/>
      <w:bookmarkEnd w:id="59"/>
      <w:bookmarkEnd w:id="60"/>
      <w:bookmarkEnd w:id="61"/>
    </w:p>
    <w:p w14:paraId="7686F4F0">
      <w:pPr>
        <w:ind w:firstLine="640"/>
        <w:rPr>
          <w:highlight w:val="none"/>
        </w:rPr>
      </w:pPr>
      <w:r>
        <w:rPr>
          <w:rFonts w:hint="eastAsia"/>
          <w:highlight w:val="none"/>
          <w:lang w:val="en-US" w:eastAsia="zh-CN"/>
        </w:rPr>
        <w:t>强化生态环境保护制度体系，完成生态环境机构垂直管理制度改革，成立扎赉诺尔区生态环境保护委员会。强化生态环境保护“党政同责、一岗双责”，修订出台《扎赉诺尔区各级党委（党工委）和政府及有关部门生态环境保护责任清单》，同时</w:t>
      </w:r>
      <w:r>
        <w:rPr>
          <w:rFonts w:hint="eastAsia"/>
          <w:highlight w:val="none"/>
        </w:rPr>
        <w:t>将</w:t>
      </w:r>
      <w:r>
        <w:rPr>
          <w:rFonts w:hint="eastAsia"/>
          <w:highlight w:val="none"/>
          <w:lang w:val="en-US" w:eastAsia="zh-CN"/>
        </w:rPr>
        <w:t>相关</w:t>
      </w:r>
      <w:r>
        <w:rPr>
          <w:rFonts w:hint="eastAsia"/>
          <w:highlight w:val="none"/>
        </w:rPr>
        <w:t>部门和单位纳入了环保考核范围，提高生态环保考核分值，加大环境保护考核权重。</w:t>
      </w:r>
      <w:r>
        <w:rPr>
          <w:rFonts w:hint="eastAsia"/>
          <w:highlight w:val="none"/>
          <w:lang w:val="en-US" w:eastAsia="zh-CN"/>
        </w:rPr>
        <w:t>严格落实“三线一单”分区管控，推动制定《扎赉诺尔区生态环境准入清单》，执行排污许可、环保信用评价、信息披露等制度，用严格制度保护生态环境。制定了《扎赉诺尔区污染防治攻坚三年行动计划》、《扎赉诺尔区全面加强生态环境保护 坚决打好污染防治攻坚战实施方案》，全面推行河湖长制和林草长制，建立了区镇两级河湖长体系，出台了“六项制度”，制定了《扎赉诺尔区全面推行湖长制工作方案》、《扎赉诺尔区全面推行林草长制工作方案》，开展全国第二次污染源普查工作，形成《扎赉诺尔区污染源普查成果报告》。</w:t>
      </w:r>
    </w:p>
    <w:p w14:paraId="0FE32E4D">
      <w:pPr>
        <w:pStyle w:val="5"/>
        <w:bidi w:val="0"/>
        <w:rPr>
          <w:highlight w:val="none"/>
        </w:rPr>
      </w:pPr>
      <w:bookmarkStart w:id="62" w:name="_Toc88954764"/>
      <w:bookmarkStart w:id="63" w:name="_Toc5240"/>
      <w:bookmarkStart w:id="64" w:name="_Toc88955307"/>
      <w:bookmarkStart w:id="65" w:name="_Toc25073"/>
      <w:bookmarkStart w:id="66" w:name="_Toc15982"/>
      <w:r>
        <w:rPr>
          <w:highlight w:val="none"/>
        </w:rPr>
        <w:t>推进修复治理，生态保护建设成效明显</w:t>
      </w:r>
      <w:bookmarkEnd w:id="62"/>
      <w:bookmarkEnd w:id="63"/>
      <w:bookmarkEnd w:id="64"/>
      <w:bookmarkEnd w:id="65"/>
      <w:bookmarkEnd w:id="66"/>
    </w:p>
    <w:p w14:paraId="7C2B5E00">
      <w:pPr>
        <w:ind w:firstLine="640"/>
        <w:rPr>
          <w:highlight w:val="none"/>
        </w:rPr>
      </w:pPr>
      <w:r>
        <w:rPr>
          <w:rFonts w:hint="eastAsia"/>
          <w:highlight w:val="none"/>
        </w:rPr>
        <w:t>统筹推进山水林田湖草沙系统治理。推进历史遗留</w:t>
      </w:r>
      <w:r>
        <w:rPr>
          <w:rFonts w:hint="eastAsia"/>
          <w:highlight w:val="none"/>
          <w:lang w:eastAsia="zh-CN"/>
        </w:rPr>
        <w:t>《</w:t>
      </w:r>
      <w:r>
        <w:rPr>
          <w:rFonts w:hint="eastAsia"/>
          <w:highlight w:val="none"/>
        </w:rPr>
        <w:t>废弃采坑矿山地质环境保护与治理规划（2021-2025年）</w:t>
      </w:r>
      <w:r>
        <w:rPr>
          <w:rFonts w:hint="eastAsia"/>
          <w:highlight w:val="none"/>
          <w:lang w:eastAsia="zh-CN"/>
        </w:rPr>
        <w:t>》</w:t>
      </w:r>
      <w:r>
        <w:rPr>
          <w:rFonts w:hint="eastAsia"/>
          <w:highlight w:val="none"/>
        </w:rPr>
        <w:t>方案编制，实施矿山地质环境治理工程，完成满达路两侧四处废弃采坑整治，治理面积93.8万平方米，推进露天矿排土场综合治理项目。加强地质环境修复治理，编制了露天排土场环境治理方案，开展排土场边坡治理，恢复植被面积3000亩；实施了小孤山及乌日根河周边环境综合整治工程，完成了勤兴砖厂历史遗留采坑修复，对工业园区渣场周边区域、六号坑周边区域及垃圾填埋场南侧等历史采坑建筑垃圾进行了平整和清运；完成了北外环北侧1.6万平方米的历史遗留土坑修复绿化，启动了建材厂历史遗留采坑等4处废弃矿山地质修复工作。推进呼伦湖流域综合整治，一、二期治理项目全部完成，南煤沟周边生态环境治理工程实施。积极谋划乌日根河沿线环境整治与生态恢复项目，编制完成《乌日根河环境影响调查评估报告》和《乌日根河环境整治生态修复工程》初步方案。加大草原环境治理力度，开展违法占用草原专项整治，89个违规违法征占用草原项目全部整改完成。开展破坏草原林地违规违法行为专项整治，实施草原生态保护补助奖励政策，对呼伦湖保护区范围内10户牧户、3.18万亩草场进行禁牧，16万亩草场实施草畜平衡。</w:t>
      </w:r>
    </w:p>
    <w:p w14:paraId="71BE9A31">
      <w:pPr>
        <w:pStyle w:val="5"/>
        <w:bidi w:val="0"/>
        <w:rPr>
          <w:highlight w:val="none"/>
        </w:rPr>
      </w:pPr>
      <w:bookmarkStart w:id="67" w:name="_Toc32010"/>
      <w:bookmarkStart w:id="68" w:name="_Toc25824"/>
      <w:bookmarkStart w:id="69" w:name="_Toc88955308"/>
      <w:bookmarkStart w:id="70" w:name="_Toc23397"/>
      <w:bookmarkStart w:id="71" w:name="_Toc88954765"/>
      <w:r>
        <w:rPr>
          <w:highlight w:val="none"/>
        </w:rPr>
        <w:t>污染防治</w:t>
      </w:r>
      <w:r>
        <w:rPr>
          <w:rFonts w:hint="eastAsia"/>
          <w:highlight w:val="none"/>
          <w:lang w:eastAsia="zh-CN"/>
        </w:rPr>
        <w:t>“</w:t>
      </w:r>
      <w:r>
        <w:rPr>
          <w:highlight w:val="none"/>
        </w:rPr>
        <w:t>三大攻坚战</w:t>
      </w:r>
      <w:r>
        <w:rPr>
          <w:rFonts w:hint="eastAsia"/>
          <w:highlight w:val="none"/>
          <w:lang w:eastAsia="zh-CN"/>
        </w:rPr>
        <w:t>”</w:t>
      </w:r>
      <w:r>
        <w:rPr>
          <w:highlight w:val="none"/>
        </w:rPr>
        <w:t>成效明显</w:t>
      </w:r>
      <w:bookmarkEnd w:id="67"/>
      <w:bookmarkEnd w:id="68"/>
      <w:bookmarkEnd w:id="69"/>
      <w:bookmarkEnd w:id="70"/>
      <w:bookmarkEnd w:id="71"/>
    </w:p>
    <w:p w14:paraId="4405F56B">
      <w:pPr>
        <w:ind w:firstLine="640"/>
        <w:rPr>
          <w:highlight w:val="none"/>
        </w:rPr>
      </w:pPr>
      <w:r>
        <w:rPr>
          <w:rFonts w:hint="eastAsia"/>
          <w:highlight w:val="none"/>
        </w:rPr>
        <w:t>坚持防风险与谋发展并举，兜底线与扶产业并重，建机制与补短板并行，理旧账与开新局并进，</w:t>
      </w:r>
      <w:r>
        <w:rPr>
          <w:rFonts w:hint="eastAsia"/>
          <w:highlight w:val="none"/>
          <w:lang w:val="en-US" w:eastAsia="zh-CN"/>
        </w:rPr>
        <w:t>全力打好蓝天、碧水、净土保卫战，污染防治攻坚战任务全面完成。</w:t>
      </w:r>
    </w:p>
    <w:p w14:paraId="0911AD1A">
      <w:pPr>
        <w:pStyle w:val="16"/>
        <w:ind w:left="0" w:leftChars="0" w:firstLine="643" w:firstLineChars="200"/>
        <w:rPr>
          <w:rFonts w:hint="default"/>
          <w:highlight w:val="none"/>
          <w:lang w:val="en-US"/>
        </w:rPr>
      </w:pPr>
      <w:r>
        <w:rPr>
          <w:rFonts w:hint="eastAsia"/>
          <w:b/>
          <w:bCs/>
          <w:highlight w:val="none"/>
        </w:rPr>
        <w:t>坚决打赢蓝天保卫战。</w:t>
      </w:r>
      <w:r>
        <w:rPr>
          <w:highlight w:val="none"/>
        </w:rPr>
        <w:t>制定了《扎赉诺尔区大气污染防治计划》及年度实施计划</w:t>
      </w:r>
      <w:r>
        <w:rPr>
          <w:rFonts w:hint="eastAsia"/>
          <w:highlight w:val="none"/>
          <w:lang w:eastAsia="zh-Hans"/>
        </w:rPr>
        <w:t>。</w:t>
      </w:r>
      <w:r>
        <w:rPr>
          <w:rFonts w:hint="eastAsia"/>
          <w:color w:val="auto"/>
          <w:highlight w:val="none"/>
          <w:lang w:eastAsia="zh-Hans"/>
        </w:rPr>
        <w:t>提升重污染天气应对能力</w:t>
      </w:r>
      <w:r>
        <w:rPr>
          <w:rFonts w:hint="eastAsia"/>
          <w:highlight w:val="none"/>
          <w:lang w:eastAsia="zh-Hans"/>
        </w:rPr>
        <w:t>，</w:t>
      </w:r>
      <w:r>
        <w:rPr>
          <w:rFonts w:hint="eastAsia"/>
          <w:highlight w:val="none"/>
        </w:rPr>
        <w:t>编制了</w:t>
      </w:r>
      <w:r>
        <w:rPr>
          <w:highlight w:val="none"/>
        </w:rPr>
        <w:t>《扎赉诺尔区重污染天气应急预案》</w:t>
      </w:r>
      <w:r>
        <w:rPr>
          <w:rFonts w:hint="eastAsia"/>
          <w:highlight w:val="none"/>
        </w:rPr>
        <w:t>，并</w:t>
      </w:r>
      <w:r>
        <w:rPr>
          <w:highlight w:val="none"/>
        </w:rPr>
        <w:t>制定了重污染天气应急减排清单</w:t>
      </w:r>
      <w:r>
        <w:rPr>
          <w:rFonts w:hint="eastAsia"/>
          <w:highlight w:val="none"/>
          <w:lang w:eastAsia="zh-Hans"/>
        </w:rPr>
        <w:t>。</w:t>
      </w:r>
      <w:r>
        <w:rPr>
          <w:rFonts w:hint="eastAsia"/>
          <w:color w:val="auto"/>
          <w:highlight w:val="none"/>
          <w:lang w:eastAsia="zh-Hans"/>
        </w:rPr>
        <w:t>完成高污染燃料禁燃区划定工作，划定禁燃区面积</w:t>
      </w:r>
      <w:r>
        <w:rPr>
          <w:color w:val="auto"/>
          <w:highlight w:val="none"/>
          <w:lang w:eastAsia="zh-Hans"/>
        </w:rPr>
        <w:t>4.1</w:t>
      </w:r>
      <w:r>
        <w:rPr>
          <w:rFonts w:hint="eastAsia"/>
          <w:color w:val="auto"/>
          <w:highlight w:val="none"/>
          <w:lang w:eastAsia="zh-Hans"/>
        </w:rPr>
        <w:t>平方公里。</w:t>
      </w:r>
      <w:r>
        <w:rPr>
          <w:highlight w:val="none"/>
        </w:rPr>
        <w:t>积极开展10吨以下燃煤锅炉整治工作，制定了《扎赉诺尔区淘汰10吨以下燃煤锅炉实施方案》</w:t>
      </w:r>
      <w:r>
        <w:rPr>
          <w:rFonts w:hint="eastAsia"/>
          <w:highlight w:val="none"/>
          <w:lang w:eastAsia="zh-Hans"/>
        </w:rPr>
        <w:t>，淘</w:t>
      </w:r>
      <w:r>
        <w:rPr>
          <w:highlight w:val="none"/>
        </w:rPr>
        <w:t>汰建成区</w:t>
      </w:r>
      <w:r>
        <w:rPr>
          <w:rFonts w:hint="eastAsia"/>
          <w:highlight w:val="none"/>
          <w:lang w:eastAsia="zh-Hans"/>
        </w:rPr>
        <w:t>燃煤小锅炉</w:t>
      </w:r>
      <w:r>
        <w:rPr>
          <w:color w:val="auto"/>
          <w:highlight w:val="none"/>
          <w:lang w:eastAsia="zh-Hans"/>
        </w:rPr>
        <w:t>65</w:t>
      </w:r>
      <w:r>
        <w:rPr>
          <w:highlight w:val="none"/>
        </w:rPr>
        <w:t>台</w:t>
      </w:r>
      <w:r>
        <w:rPr>
          <w:rFonts w:hint="eastAsia"/>
          <w:highlight w:val="none"/>
          <w:lang w:eastAsia="zh-Hans"/>
        </w:rPr>
        <w:t>，累计发放小锅炉拆改补贴</w:t>
      </w:r>
      <w:r>
        <w:rPr>
          <w:highlight w:val="none"/>
          <w:lang w:eastAsia="zh-Hans"/>
        </w:rPr>
        <w:t>110</w:t>
      </w:r>
      <w:r>
        <w:rPr>
          <w:rFonts w:hint="eastAsia"/>
          <w:highlight w:val="none"/>
          <w:lang w:eastAsia="zh-Hans"/>
        </w:rPr>
        <w:t>万元。加强工业企业整治，</w:t>
      </w:r>
      <w:r>
        <w:rPr>
          <w:highlight w:val="none"/>
        </w:rPr>
        <w:t>2016年至2020年完成达赉湖热电厂脱硫改造、达赉湖热电超低排放改造、扎煤公司灵泉矿除尘器改造</w:t>
      </w:r>
      <w:r>
        <w:rPr>
          <w:rFonts w:hint="eastAsia"/>
          <w:highlight w:val="none"/>
          <w:lang w:eastAsia="zh-Hans"/>
        </w:rPr>
        <w:t>、</w:t>
      </w:r>
      <w:r>
        <w:rPr>
          <w:rFonts w:hint="default" w:ascii="Times New Roman" w:hAnsi="Times New Roman" w:cs="Times New Roman"/>
          <w:color w:val="auto"/>
          <w:highlight w:val="none"/>
          <w:lang w:eastAsia="zh-Hans"/>
        </w:rPr>
        <w:t>灵露矿集中供热、灵泉矿集中供热</w:t>
      </w:r>
      <w:r>
        <w:rPr>
          <w:rFonts w:hint="default" w:ascii="Times New Roman" w:hAnsi="Times New Roman" w:cs="Times New Roman"/>
          <w:color w:val="auto"/>
          <w:highlight w:val="none"/>
        </w:rPr>
        <w:t>等一系列项目建设</w:t>
      </w:r>
      <w:r>
        <w:rPr>
          <w:rFonts w:hint="default" w:ascii="Times New Roman" w:hAnsi="Times New Roman" w:cs="Times New Roman"/>
          <w:color w:val="auto"/>
          <w:highlight w:val="none"/>
          <w:lang w:eastAsia="zh-Hans"/>
        </w:rPr>
        <w:t>。</w:t>
      </w:r>
      <w:r>
        <w:rPr>
          <w:rFonts w:hint="eastAsia"/>
          <w:highlight w:val="none"/>
          <w:lang w:val="en-US" w:eastAsia="zh-CN"/>
        </w:rPr>
        <w:t>元力等三家重点工业企业完成环保设施升级改造</w:t>
      </w:r>
      <w:r>
        <w:rPr>
          <w:rFonts w:hint="default" w:ascii="Times New Roman" w:hAnsi="Times New Roman" w:cs="Times New Roman"/>
          <w:color w:val="auto"/>
          <w:highlight w:val="none"/>
          <w:lang w:eastAsia="zh-Hans"/>
        </w:rPr>
        <w:t>；</w:t>
      </w:r>
      <w:r>
        <w:rPr>
          <w:rFonts w:hint="eastAsia" w:eastAsia="仿宋" w:cs="Times New Roman"/>
          <w:bCs/>
          <w:color w:val="auto"/>
          <w:kern w:val="0"/>
          <w:szCs w:val="32"/>
          <w:highlight w:val="none"/>
          <w:lang w:val="en-US" w:eastAsia="zh-CN"/>
        </w:rPr>
        <w:t>6</w:t>
      </w:r>
      <w:r>
        <w:rPr>
          <w:rFonts w:hint="default" w:ascii="Times New Roman" w:hAnsi="Times New Roman" w:eastAsia="仿宋" w:cs="Times New Roman"/>
          <w:bCs/>
          <w:color w:val="auto"/>
          <w:kern w:val="0"/>
          <w:szCs w:val="32"/>
          <w:highlight w:val="none"/>
        </w:rPr>
        <w:t>家采石场、2家商混企业</w:t>
      </w:r>
      <w:r>
        <w:rPr>
          <w:rFonts w:hint="eastAsia" w:eastAsia="仿宋" w:cs="Times New Roman"/>
          <w:bCs/>
          <w:color w:val="auto"/>
          <w:kern w:val="0"/>
          <w:szCs w:val="32"/>
          <w:highlight w:val="none"/>
          <w:lang w:val="en-US" w:eastAsia="zh-CN"/>
        </w:rPr>
        <w:t>完善了抑尘设施</w:t>
      </w:r>
      <w:r>
        <w:rPr>
          <w:rFonts w:hint="default" w:ascii="Times New Roman" w:hAnsi="Times New Roman" w:eastAsia="仿宋" w:cs="Times New Roman"/>
          <w:bCs/>
          <w:color w:val="auto"/>
          <w:kern w:val="0"/>
          <w:szCs w:val="32"/>
          <w:highlight w:val="none"/>
        </w:rPr>
        <w:t>；8家涉及蒸煮木材加工企业完成整改工作</w:t>
      </w:r>
      <w:r>
        <w:rPr>
          <w:rFonts w:hint="default" w:ascii="Times New Roman" w:hAnsi="Times New Roman" w:cs="Times New Roman"/>
          <w:color w:val="auto"/>
          <w:highlight w:val="none"/>
          <w:lang w:eastAsia="zh-Hans"/>
        </w:rPr>
        <w:t>。</w:t>
      </w:r>
      <w:r>
        <w:rPr>
          <w:rFonts w:hint="default" w:ascii="Times New Roman" w:hAnsi="Times New Roman" w:eastAsia="仿宋" w:cs="Times New Roman"/>
          <w:bCs/>
          <w:color w:val="auto"/>
          <w:kern w:val="0"/>
          <w:szCs w:val="32"/>
          <w:highlight w:val="none"/>
        </w:rPr>
        <w:t>开展工业炉窑整治，</w:t>
      </w:r>
      <w:r>
        <w:rPr>
          <w:rFonts w:hint="eastAsia" w:eastAsia="仿宋" w:cs="Times New Roman"/>
          <w:bCs/>
          <w:color w:val="auto"/>
          <w:kern w:val="0"/>
          <w:szCs w:val="32"/>
          <w:highlight w:val="none"/>
          <w:lang w:val="en-US" w:eastAsia="zh-CN"/>
        </w:rPr>
        <w:t>淘汰</w:t>
      </w:r>
      <w:r>
        <w:rPr>
          <w:rFonts w:hint="default" w:ascii="Times New Roman" w:hAnsi="Times New Roman" w:eastAsia="仿宋" w:cs="Times New Roman"/>
          <w:bCs/>
          <w:color w:val="auto"/>
          <w:kern w:val="0"/>
          <w:szCs w:val="32"/>
          <w:highlight w:val="none"/>
        </w:rPr>
        <w:t>6家轮窑砖瓦厂，天成砖厂、远达木业完成炉窑拆除，宏力砖厂完成深度整改。开展重点行业无组织排放治理，</w:t>
      </w:r>
      <w:r>
        <w:rPr>
          <w:rFonts w:hint="default" w:ascii="Times New Roman" w:hAnsi="Times New Roman" w:eastAsia="仿宋" w:cs="Times New Roman"/>
          <w:color w:val="auto"/>
          <w:szCs w:val="32"/>
          <w:highlight w:val="none"/>
        </w:rPr>
        <w:t>灵泉矿封闭储煤场投入使用。</w:t>
      </w:r>
      <w:r>
        <w:rPr>
          <w:rFonts w:hint="eastAsia" w:eastAsia="仿宋" w:cs="Times New Roman"/>
          <w:bCs/>
          <w:color w:val="auto"/>
          <w:kern w:val="0"/>
          <w:szCs w:val="32"/>
          <w:highlight w:val="none"/>
          <w:lang w:val="en-US" w:eastAsia="zh-CN"/>
        </w:rPr>
        <w:t>加强</w:t>
      </w:r>
      <w:r>
        <w:rPr>
          <w:rFonts w:hint="default" w:ascii="Times New Roman" w:hAnsi="Times New Roman" w:eastAsia="仿宋" w:cs="Times New Roman"/>
          <w:bCs/>
          <w:color w:val="auto"/>
          <w:kern w:val="0"/>
          <w:szCs w:val="32"/>
          <w:highlight w:val="none"/>
        </w:rPr>
        <w:t>挥发性有机物治理</w:t>
      </w:r>
      <w:r>
        <w:rPr>
          <w:rFonts w:hint="default" w:ascii="Times New Roman" w:hAnsi="Times New Roman" w:eastAsia="仿宋" w:cs="Times New Roman"/>
          <w:bCs/>
          <w:color w:val="auto"/>
          <w:kern w:val="0"/>
          <w:szCs w:val="32"/>
          <w:highlight w:val="none"/>
          <w:lang w:eastAsia="zh-Hans"/>
        </w:rPr>
        <w:t>，</w:t>
      </w:r>
      <w:r>
        <w:rPr>
          <w:rFonts w:hint="default" w:ascii="Times New Roman" w:hAnsi="Times New Roman" w:cs="Times New Roman"/>
          <w:color w:val="auto"/>
          <w:highlight w:val="none"/>
        </w:rPr>
        <w:t>涉及</w:t>
      </w:r>
      <w:r>
        <w:rPr>
          <w:rFonts w:hint="default" w:ascii="Times New Roman" w:hAnsi="Times New Roman" w:eastAsia="仿宋" w:cs="Times New Roman"/>
          <w:color w:val="auto"/>
          <w:szCs w:val="32"/>
          <w:highlight w:val="none"/>
        </w:rPr>
        <w:t>喷漆工艺</w:t>
      </w:r>
      <w:r>
        <w:rPr>
          <w:rFonts w:hint="default" w:ascii="Times New Roman" w:hAnsi="Times New Roman" w:eastAsia="仿宋" w:cs="Times New Roman"/>
          <w:color w:val="auto"/>
          <w:szCs w:val="32"/>
          <w:highlight w:val="none"/>
          <w:lang w:eastAsia="zh-Hans"/>
        </w:rPr>
        <w:t>的8家</w:t>
      </w:r>
      <w:r>
        <w:rPr>
          <w:rFonts w:hint="default" w:ascii="Times New Roman" w:hAnsi="Times New Roman" w:eastAsia="仿宋" w:cs="Times New Roman"/>
          <w:color w:val="auto"/>
          <w:szCs w:val="32"/>
          <w:highlight w:val="none"/>
        </w:rPr>
        <w:t>汽修企业VOCs处理装置运行监测达标排放，7家加油站完成油汽回收装置检测备案</w:t>
      </w:r>
      <w:r>
        <w:rPr>
          <w:rFonts w:hint="default" w:ascii="Times New Roman" w:hAnsi="Times New Roman" w:cs="Times New Roman"/>
          <w:color w:val="auto"/>
          <w:highlight w:val="none"/>
        </w:rPr>
        <w:t>。</w:t>
      </w:r>
      <w:r>
        <w:rPr>
          <w:rFonts w:hint="default" w:ascii="Times New Roman" w:hAnsi="Times New Roman" w:eastAsia="仿宋" w:cs="Times New Roman"/>
          <w:bCs/>
          <w:color w:val="auto"/>
          <w:kern w:val="0"/>
          <w:szCs w:val="32"/>
          <w:highlight w:val="none"/>
        </w:rPr>
        <w:t>开展柴油货车整治</w:t>
      </w:r>
      <w:r>
        <w:rPr>
          <w:rFonts w:hint="eastAsia"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入户抽查、路检路查</w:t>
      </w:r>
      <w:r>
        <w:rPr>
          <w:rFonts w:hint="eastAsia"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检测柴油货车1750辆</w:t>
      </w:r>
      <w:r>
        <w:rPr>
          <w:rFonts w:hint="eastAsia" w:eastAsia="仿宋" w:cs="Times New Roman"/>
          <w:bCs/>
          <w:color w:val="auto"/>
          <w:kern w:val="0"/>
          <w:szCs w:val="32"/>
          <w:highlight w:val="none"/>
          <w:lang w:val="en-US" w:eastAsia="zh-CN"/>
        </w:rPr>
        <w:t>次</w:t>
      </w:r>
      <w:r>
        <w:rPr>
          <w:rFonts w:hint="default" w:ascii="Times New Roman" w:hAnsi="Times New Roman" w:eastAsia="仿宋" w:cs="Times New Roman"/>
          <w:bCs/>
          <w:color w:val="auto"/>
          <w:kern w:val="0"/>
          <w:szCs w:val="32"/>
          <w:highlight w:val="none"/>
        </w:rPr>
        <w:t>；，完成非道路移动机械设备登记编码。开展</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十小企业</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、重污染工业企业摸底排查</w:t>
      </w:r>
      <w:r>
        <w:rPr>
          <w:rFonts w:hint="eastAsia" w:eastAsia="仿宋" w:cs="Times New Roman"/>
          <w:bCs/>
          <w:color w:val="auto"/>
          <w:kern w:val="0"/>
          <w:szCs w:val="32"/>
          <w:highlight w:val="none"/>
          <w:lang w:val="en-US" w:eastAsia="zh-CN"/>
        </w:rPr>
        <w:t>和</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散乱污</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企业综合整治，关停</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散乱污</w:t>
      </w:r>
      <w:r>
        <w:rPr>
          <w:rFonts w:hint="eastAsia" w:ascii="Times New Roman" w:hAnsi="Times New Roman" w:eastAsia="仿宋" w:cs="Times New Roman"/>
          <w:bCs/>
          <w:color w:val="auto"/>
          <w:kern w:val="0"/>
          <w:szCs w:val="32"/>
          <w:highlight w:val="none"/>
          <w:lang w:eastAsia="zh-CN"/>
        </w:rPr>
        <w:t>”</w:t>
      </w:r>
      <w:r>
        <w:rPr>
          <w:rFonts w:hint="default" w:ascii="Times New Roman" w:hAnsi="Times New Roman" w:eastAsia="仿宋" w:cs="Times New Roman"/>
          <w:bCs/>
          <w:color w:val="auto"/>
          <w:kern w:val="0"/>
          <w:szCs w:val="32"/>
          <w:highlight w:val="none"/>
        </w:rPr>
        <w:t>企业4家。</w:t>
      </w:r>
      <w:r>
        <w:rPr>
          <w:rFonts w:hint="eastAsia" w:eastAsia="仿宋" w:cs="Times New Roman"/>
          <w:bCs/>
          <w:color w:val="auto"/>
          <w:kern w:val="0"/>
          <w:szCs w:val="32"/>
          <w:highlight w:val="none"/>
          <w:lang w:val="en-US" w:eastAsia="zh-CN"/>
        </w:rPr>
        <w:t>经统计，2020年，空气优良天数352天，有效监测天数354天，优良率99.4%</w:t>
      </w:r>
      <w:r>
        <w:rPr>
          <w:rFonts w:hint="default" w:ascii="Times New Roman" w:hAnsi="Times New Roman" w:eastAsia="仿宋" w:cs="Times New Roman"/>
          <w:bCs/>
          <w:color w:val="auto"/>
          <w:kern w:val="0"/>
          <w:szCs w:val="32"/>
          <w:highlight w:val="none"/>
          <w:lang w:val="en-US" w:eastAsia="zh-CN"/>
        </w:rPr>
        <w:t>，PM</w:t>
      </w:r>
      <w:r>
        <w:rPr>
          <w:rFonts w:hint="default" w:ascii="Times New Roman" w:hAnsi="Times New Roman" w:eastAsia="仿宋" w:cs="Times New Roman"/>
          <w:bCs/>
          <w:color w:val="auto"/>
          <w:kern w:val="0"/>
          <w:szCs w:val="32"/>
          <w:highlight w:val="none"/>
          <w:vertAlign w:val="subscript"/>
          <w:lang w:val="en-US" w:eastAsia="zh-CN"/>
        </w:rPr>
        <w:t>10</w:t>
      </w:r>
      <w:r>
        <w:rPr>
          <w:rFonts w:hint="default" w:ascii="Times New Roman" w:hAnsi="Times New Roman" w:eastAsia="仿宋" w:cs="Times New Roman"/>
          <w:bCs/>
          <w:color w:val="auto"/>
          <w:kern w:val="0"/>
          <w:szCs w:val="32"/>
          <w:highlight w:val="none"/>
          <w:lang w:val="en-US" w:eastAsia="zh-CN"/>
        </w:rPr>
        <w:t>平均浓度</w:t>
      </w:r>
      <w:r>
        <w:rPr>
          <w:rFonts w:hint="eastAsia" w:eastAsia="仿宋" w:cs="Times New Roman"/>
          <w:bCs/>
          <w:color w:val="auto"/>
          <w:sz w:val="32"/>
          <w:szCs w:val="32"/>
          <w:highlight w:val="none"/>
          <w:lang w:val="en-US" w:eastAsia="zh-CN"/>
        </w:rPr>
        <w:t>29</w:t>
      </w:r>
      <w:r>
        <w:rPr>
          <w:rFonts w:hint="default" w:ascii="Times New Roman" w:hAnsi="Times New Roman" w:eastAsia="仿宋" w:cs="Times New Roman"/>
          <w:bCs/>
          <w:color w:val="auto"/>
          <w:sz w:val="32"/>
          <w:szCs w:val="32"/>
          <w:highlight w:val="none"/>
          <w:lang w:val="en-US" w:eastAsia="zh-CN"/>
        </w:rPr>
        <w:t>μg/m</w:t>
      </w:r>
      <w:r>
        <w:rPr>
          <w:rFonts w:hint="default" w:ascii="Times New Roman" w:hAnsi="Times New Roman" w:eastAsia="仿宋" w:cs="Times New Roman"/>
          <w:bCs/>
          <w:color w:val="auto"/>
          <w:sz w:val="32"/>
          <w:szCs w:val="32"/>
          <w:highlight w:val="none"/>
          <w:vertAlign w:val="superscript"/>
          <w:lang w:val="en-US" w:eastAsia="zh-CN"/>
        </w:rPr>
        <w:t>3</w:t>
      </w:r>
      <w:r>
        <w:rPr>
          <w:rFonts w:hint="default" w:ascii="Times New Roman" w:hAnsi="Times New Roman" w:eastAsia="仿宋" w:cs="Times New Roman"/>
          <w:bCs/>
          <w:color w:val="auto"/>
          <w:sz w:val="32"/>
          <w:szCs w:val="32"/>
          <w:highlight w:val="none"/>
          <w:lang w:val="en-US" w:eastAsia="zh-CN"/>
        </w:rPr>
        <w:t>，PM</w:t>
      </w:r>
      <w:r>
        <w:rPr>
          <w:rFonts w:hint="default" w:ascii="Times New Roman" w:hAnsi="Times New Roman" w:eastAsia="仿宋" w:cs="Times New Roman"/>
          <w:bCs/>
          <w:color w:val="auto"/>
          <w:sz w:val="32"/>
          <w:szCs w:val="32"/>
          <w:highlight w:val="none"/>
          <w:vertAlign w:val="subscript"/>
          <w:lang w:val="en-US" w:eastAsia="zh-CN"/>
        </w:rPr>
        <w:t>2.5</w:t>
      </w:r>
      <w:r>
        <w:rPr>
          <w:rFonts w:hint="default" w:ascii="Times New Roman" w:hAnsi="Times New Roman" w:eastAsia="仿宋" w:cs="Times New Roman"/>
          <w:bCs/>
          <w:color w:val="auto"/>
          <w:sz w:val="32"/>
          <w:szCs w:val="32"/>
          <w:highlight w:val="none"/>
          <w:lang w:val="en-US" w:eastAsia="zh-CN"/>
        </w:rPr>
        <w:t>平均浓度</w:t>
      </w:r>
      <w:r>
        <w:rPr>
          <w:rFonts w:hint="eastAsia" w:eastAsia="仿宋" w:cs="Times New Roman"/>
          <w:bCs/>
          <w:color w:val="auto"/>
          <w:sz w:val="32"/>
          <w:szCs w:val="32"/>
          <w:highlight w:val="none"/>
          <w:lang w:val="en-US" w:eastAsia="zh-CN"/>
        </w:rPr>
        <w:t>13</w:t>
      </w:r>
      <w:r>
        <w:rPr>
          <w:rFonts w:hint="default" w:ascii="Times New Roman" w:hAnsi="Times New Roman" w:eastAsia="仿宋" w:cs="Times New Roman"/>
          <w:bCs/>
          <w:color w:val="auto"/>
          <w:sz w:val="32"/>
          <w:szCs w:val="32"/>
          <w:highlight w:val="none"/>
          <w:lang w:val="en-US" w:eastAsia="zh-CN"/>
        </w:rPr>
        <w:t>μg/m</w:t>
      </w:r>
      <w:r>
        <w:rPr>
          <w:rFonts w:hint="default" w:ascii="Times New Roman" w:hAnsi="Times New Roman" w:eastAsia="仿宋" w:cs="Times New Roman"/>
          <w:bCs/>
          <w:color w:val="auto"/>
          <w:sz w:val="32"/>
          <w:szCs w:val="32"/>
          <w:highlight w:val="none"/>
          <w:vertAlign w:val="superscript"/>
          <w:lang w:val="en-US" w:eastAsia="zh-CN"/>
        </w:rPr>
        <w:t>3</w:t>
      </w:r>
      <w:r>
        <w:rPr>
          <w:rFonts w:hint="default" w:ascii="Times New Roman" w:hAnsi="Times New Roman" w:eastAsia="仿宋" w:cs="Times New Roman"/>
          <w:bCs/>
          <w:color w:val="auto"/>
          <w:sz w:val="32"/>
          <w:szCs w:val="32"/>
          <w:highlight w:val="none"/>
          <w:lang w:val="en-US" w:eastAsia="zh-CN"/>
        </w:rPr>
        <w:t>，SO</w:t>
      </w:r>
      <w:r>
        <w:rPr>
          <w:rFonts w:hint="default" w:ascii="Times New Roman" w:hAnsi="Times New Roman" w:eastAsia="仿宋" w:cs="Times New Roman"/>
          <w:bCs/>
          <w:color w:val="auto"/>
          <w:sz w:val="32"/>
          <w:szCs w:val="32"/>
          <w:highlight w:val="none"/>
          <w:vertAlign w:val="subscript"/>
          <w:lang w:val="en-US" w:eastAsia="zh-CN"/>
        </w:rPr>
        <w:t>2</w:t>
      </w:r>
      <w:r>
        <w:rPr>
          <w:rFonts w:hint="default" w:ascii="Times New Roman" w:hAnsi="Times New Roman" w:eastAsia="仿宋" w:cs="Times New Roman"/>
          <w:bCs/>
          <w:color w:val="auto"/>
          <w:sz w:val="32"/>
          <w:szCs w:val="32"/>
          <w:highlight w:val="none"/>
          <w:lang w:val="en-US" w:eastAsia="zh-CN"/>
        </w:rPr>
        <w:t>平均浓度</w:t>
      </w:r>
      <w:r>
        <w:rPr>
          <w:rFonts w:hint="eastAsia" w:eastAsia="仿宋" w:cs="Times New Roman"/>
          <w:bCs/>
          <w:color w:val="auto"/>
          <w:sz w:val="32"/>
          <w:szCs w:val="32"/>
          <w:highlight w:val="none"/>
          <w:lang w:val="en-US" w:eastAsia="zh-CN"/>
        </w:rPr>
        <w:t>8</w:t>
      </w:r>
      <w:r>
        <w:rPr>
          <w:rFonts w:hint="default" w:ascii="Times New Roman" w:hAnsi="Times New Roman" w:eastAsia="仿宋" w:cs="Times New Roman"/>
          <w:bCs/>
          <w:color w:val="auto"/>
          <w:sz w:val="32"/>
          <w:szCs w:val="32"/>
          <w:highlight w:val="none"/>
          <w:lang w:val="en-US" w:eastAsia="zh-CN"/>
        </w:rPr>
        <w:t>μg/m</w:t>
      </w:r>
      <w:r>
        <w:rPr>
          <w:rFonts w:hint="default" w:ascii="Times New Roman" w:hAnsi="Times New Roman" w:eastAsia="仿宋" w:cs="Times New Roman"/>
          <w:bCs/>
          <w:color w:val="auto"/>
          <w:sz w:val="32"/>
          <w:szCs w:val="32"/>
          <w:highlight w:val="none"/>
          <w:vertAlign w:val="superscript"/>
          <w:lang w:val="en-US" w:eastAsia="zh-CN"/>
        </w:rPr>
        <w:t>3</w:t>
      </w:r>
      <w:r>
        <w:rPr>
          <w:rFonts w:hint="default" w:ascii="Times New Roman" w:hAnsi="Times New Roman" w:eastAsia="仿宋" w:cs="Times New Roman"/>
          <w:bCs/>
          <w:color w:val="auto"/>
          <w:sz w:val="32"/>
          <w:szCs w:val="32"/>
          <w:highlight w:val="none"/>
          <w:lang w:val="en-US" w:eastAsia="zh-CN"/>
        </w:rPr>
        <w:t>，NO</w:t>
      </w:r>
      <w:r>
        <w:rPr>
          <w:rFonts w:hint="default" w:ascii="Times New Roman" w:hAnsi="Times New Roman" w:eastAsia="仿宋" w:cs="Times New Roman"/>
          <w:bCs/>
          <w:color w:val="auto"/>
          <w:sz w:val="32"/>
          <w:szCs w:val="32"/>
          <w:highlight w:val="none"/>
          <w:vertAlign w:val="subscript"/>
          <w:lang w:val="en-US" w:eastAsia="zh-CN"/>
        </w:rPr>
        <w:t>2</w:t>
      </w:r>
      <w:r>
        <w:rPr>
          <w:rFonts w:hint="default" w:ascii="Times New Roman" w:hAnsi="Times New Roman" w:eastAsia="仿宋" w:cs="Times New Roman"/>
          <w:bCs/>
          <w:color w:val="auto"/>
          <w:sz w:val="32"/>
          <w:szCs w:val="32"/>
          <w:highlight w:val="none"/>
          <w:lang w:val="en-US" w:eastAsia="zh-CN"/>
        </w:rPr>
        <w:t>平均浓度</w:t>
      </w:r>
      <w:r>
        <w:rPr>
          <w:rFonts w:hint="eastAsia" w:eastAsia="仿宋" w:cs="Times New Roman"/>
          <w:bCs/>
          <w:color w:val="auto"/>
          <w:sz w:val="32"/>
          <w:szCs w:val="32"/>
          <w:highlight w:val="none"/>
          <w:lang w:val="en-US" w:eastAsia="zh-CN"/>
        </w:rPr>
        <w:t>11</w:t>
      </w:r>
      <w:r>
        <w:rPr>
          <w:rFonts w:hint="default" w:ascii="Times New Roman" w:hAnsi="Times New Roman" w:eastAsia="仿宋" w:cs="Times New Roman"/>
          <w:bCs/>
          <w:color w:val="auto"/>
          <w:sz w:val="32"/>
          <w:szCs w:val="32"/>
          <w:highlight w:val="none"/>
          <w:lang w:val="en-US" w:eastAsia="zh-CN"/>
        </w:rPr>
        <w:t>μg/m</w:t>
      </w:r>
      <w:r>
        <w:rPr>
          <w:rFonts w:hint="default" w:ascii="Times New Roman" w:hAnsi="Times New Roman" w:eastAsia="仿宋" w:cs="Times New Roman"/>
          <w:bCs/>
          <w:color w:val="auto"/>
          <w:sz w:val="32"/>
          <w:szCs w:val="32"/>
          <w:highlight w:val="none"/>
          <w:vertAlign w:val="superscript"/>
          <w:lang w:val="en-US" w:eastAsia="zh-CN"/>
        </w:rPr>
        <w:t>3</w:t>
      </w:r>
      <w:r>
        <w:rPr>
          <w:rFonts w:hint="default" w:ascii="Times New Roman" w:hAnsi="Times New Roman" w:eastAsia="仿宋" w:cs="Times New Roman"/>
          <w:bCs/>
          <w:color w:val="auto"/>
          <w:sz w:val="32"/>
          <w:szCs w:val="32"/>
          <w:highlight w:val="none"/>
          <w:lang w:val="en-US" w:eastAsia="zh-CN"/>
        </w:rPr>
        <w:t>，</w:t>
      </w:r>
      <w:r>
        <w:rPr>
          <w:rFonts w:hint="eastAsia" w:eastAsia="仿宋" w:cs="Times New Roman"/>
          <w:bCs/>
          <w:color w:val="auto"/>
          <w:sz w:val="32"/>
          <w:szCs w:val="32"/>
          <w:highlight w:val="none"/>
          <w:lang w:val="en-US" w:eastAsia="zh-CN"/>
        </w:rPr>
        <w:t>CO第95百分位浓度1.1mg/</w:t>
      </w:r>
      <w:r>
        <w:rPr>
          <w:rFonts w:hint="default" w:ascii="Times New Roman" w:hAnsi="Times New Roman" w:eastAsia="仿宋" w:cs="Times New Roman"/>
          <w:bCs/>
          <w:color w:val="auto"/>
          <w:sz w:val="32"/>
          <w:szCs w:val="32"/>
          <w:highlight w:val="none"/>
          <w:lang w:val="en-US" w:eastAsia="zh-CN"/>
        </w:rPr>
        <w:t>m</w:t>
      </w:r>
      <w:r>
        <w:rPr>
          <w:rFonts w:hint="default" w:ascii="Times New Roman" w:hAnsi="Times New Roman" w:eastAsia="仿宋" w:cs="Times New Roman"/>
          <w:bCs/>
          <w:color w:val="auto"/>
          <w:sz w:val="32"/>
          <w:szCs w:val="32"/>
          <w:highlight w:val="none"/>
          <w:vertAlign w:val="superscript"/>
          <w:lang w:val="en-US" w:eastAsia="zh-CN"/>
        </w:rPr>
        <w:t>3</w:t>
      </w:r>
      <w:r>
        <w:rPr>
          <w:rFonts w:hint="eastAsia" w:eastAsia="仿宋" w:cs="Times New Roman"/>
          <w:bCs/>
          <w:color w:val="auto"/>
          <w:sz w:val="32"/>
          <w:szCs w:val="32"/>
          <w:highlight w:val="none"/>
          <w:lang w:val="en-US" w:eastAsia="zh-CN"/>
        </w:rPr>
        <w:t>，O</w:t>
      </w:r>
      <w:r>
        <w:rPr>
          <w:rFonts w:hint="eastAsia" w:eastAsia="仿宋" w:cs="Times New Roman"/>
          <w:bCs/>
          <w:color w:val="auto"/>
          <w:sz w:val="32"/>
          <w:szCs w:val="32"/>
          <w:highlight w:val="none"/>
          <w:vertAlign w:val="subscript"/>
          <w:lang w:val="en-US" w:eastAsia="zh-CN"/>
        </w:rPr>
        <w:t>3</w:t>
      </w:r>
      <w:r>
        <w:rPr>
          <w:rFonts w:hint="eastAsia" w:cs="Times New Roman"/>
          <w:color w:val="auto"/>
          <w:highlight w:val="none"/>
          <w:lang w:val="en-US" w:eastAsia="zh-CN"/>
        </w:rPr>
        <w:t>-8h</w:t>
      </w:r>
      <w:r>
        <w:rPr>
          <w:rFonts w:hint="eastAsia" w:eastAsia="仿宋" w:cs="Times New Roman"/>
          <w:bCs/>
          <w:color w:val="auto"/>
          <w:sz w:val="32"/>
          <w:szCs w:val="32"/>
          <w:highlight w:val="none"/>
          <w:lang w:val="en-US" w:eastAsia="zh-CN"/>
        </w:rPr>
        <w:t>第90百分位浓度118</w:t>
      </w:r>
      <w:r>
        <w:rPr>
          <w:rFonts w:hint="default" w:ascii="Times New Roman" w:hAnsi="Times New Roman" w:eastAsia="仿宋" w:cs="Times New Roman"/>
          <w:bCs/>
          <w:color w:val="auto"/>
          <w:sz w:val="32"/>
          <w:szCs w:val="32"/>
          <w:highlight w:val="none"/>
          <w:lang w:val="en-US" w:eastAsia="zh-CN"/>
        </w:rPr>
        <w:t>μg/m</w:t>
      </w:r>
      <w:r>
        <w:rPr>
          <w:rFonts w:hint="default" w:ascii="Times New Roman" w:hAnsi="Times New Roman" w:eastAsia="仿宋" w:cs="Times New Roman"/>
          <w:bCs/>
          <w:color w:val="auto"/>
          <w:sz w:val="32"/>
          <w:szCs w:val="32"/>
          <w:highlight w:val="none"/>
          <w:vertAlign w:val="superscript"/>
          <w:lang w:val="en-US" w:eastAsia="zh-CN"/>
        </w:rPr>
        <w:t>3</w:t>
      </w:r>
      <w:r>
        <w:rPr>
          <w:rFonts w:hint="default" w:ascii="Times New Roman" w:hAnsi="Times New Roman" w:eastAsia="仿宋" w:cs="Times New Roman"/>
          <w:bCs/>
          <w:color w:val="auto"/>
          <w:sz w:val="32"/>
          <w:szCs w:val="32"/>
          <w:highlight w:val="none"/>
        </w:rPr>
        <w:t>。</w:t>
      </w:r>
      <w:r>
        <w:rPr>
          <w:rFonts w:hint="eastAsia" w:cs="Times New Roman"/>
          <w:highlight w:val="none"/>
          <w:lang w:val="en-US" w:eastAsia="zh-CN"/>
        </w:rPr>
        <w:t>十三五期间</w:t>
      </w:r>
      <w:r>
        <w:rPr>
          <w:rFonts w:hint="default" w:ascii="Times New Roman" w:hAnsi="Times New Roman" w:cs="Times New Roman"/>
          <w:highlight w:val="none"/>
        </w:rPr>
        <w:t>，SO</w:t>
      </w:r>
      <w:r>
        <w:rPr>
          <w:rFonts w:hint="default" w:ascii="Times New Roman" w:hAnsi="Times New Roman" w:cs="Times New Roman"/>
          <w:highlight w:val="none"/>
          <w:vertAlign w:val="subscript"/>
        </w:rPr>
        <w:t>2</w:t>
      </w:r>
      <w:r>
        <w:rPr>
          <w:rFonts w:hint="default" w:ascii="Times New Roman" w:hAnsi="Times New Roman" w:cs="Times New Roman"/>
          <w:highlight w:val="none"/>
        </w:rPr>
        <w:t>减排约</w:t>
      </w:r>
      <w:r>
        <w:rPr>
          <w:rFonts w:hint="eastAsia" w:cs="Times New Roman"/>
          <w:highlight w:val="none"/>
          <w:lang w:val="en-US" w:eastAsia="zh-CN"/>
        </w:rPr>
        <w:t>2.4</w:t>
      </w:r>
      <w:r>
        <w:rPr>
          <w:rFonts w:hint="default" w:ascii="Times New Roman" w:hAnsi="Times New Roman" w:cs="Times New Roman"/>
          <w:highlight w:val="none"/>
        </w:rPr>
        <w:t>万吨、NOx减排约</w:t>
      </w:r>
      <w:r>
        <w:rPr>
          <w:rFonts w:hint="eastAsia" w:cs="Times New Roman"/>
          <w:highlight w:val="none"/>
          <w:lang w:val="en-US" w:eastAsia="zh-CN"/>
        </w:rPr>
        <w:t>2.3</w:t>
      </w:r>
      <w:r>
        <w:rPr>
          <w:rFonts w:hint="default" w:ascii="Times New Roman" w:hAnsi="Times New Roman" w:cs="Times New Roman"/>
          <w:highlight w:val="none"/>
        </w:rPr>
        <w:t>万吨。</w:t>
      </w:r>
    </w:p>
    <w:p w14:paraId="44D9AA81">
      <w:pPr>
        <w:pStyle w:val="16"/>
        <w:ind w:firstLine="643" w:firstLineChars="200"/>
        <w:rPr>
          <w:rFonts w:hint="default"/>
          <w:highlight w:val="none"/>
          <w:lang w:val="en-US"/>
        </w:rPr>
      </w:pPr>
      <w:r>
        <w:rPr>
          <w:rFonts w:hint="default" w:ascii="Times New Roman" w:hAnsi="Times New Roman" w:cs="Times New Roman"/>
          <w:b/>
          <w:bCs/>
          <w:highlight w:val="none"/>
        </w:rPr>
        <w:t>着力打好碧水保卫战</w:t>
      </w:r>
      <w:r>
        <w:rPr>
          <w:rFonts w:hint="default" w:ascii="Times New Roman" w:hAnsi="Times New Roman" w:cs="Times New Roman"/>
          <w:highlight w:val="none"/>
        </w:rPr>
        <w:t>。制定了《扎赉诺尔区水污染防治计划》及年度实施计划。开展入河排污口及污染源全面调查，排查了所有涉水企业污染设施安装情况、排水情况，建立了污染源管理台账；</w:t>
      </w:r>
      <w:r>
        <w:rPr>
          <w:rStyle w:val="34"/>
          <w:rFonts w:hint="default" w:ascii="Times New Roman" w:hAnsi="Times New Roman" w:cs="Times New Roman"/>
          <w:b w:val="0"/>
          <w:color w:val="auto"/>
          <w:szCs w:val="32"/>
          <w:highlight w:val="none"/>
          <w:shd w:val="clear" w:color="auto" w:fill="FFFFFF"/>
        </w:rPr>
        <w:t>实施了涉水企业污染防治设施升级改造，</w:t>
      </w:r>
      <w:r>
        <w:rPr>
          <w:rFonts w:hint="default" w:ascii="Times New Roman" w:hAnsi="Times New Roman" w:cs="Times New Roman"/>
          <w:highlight w:val="none"/>
        </w:rPr>
        <w:t>完成生活污水处理厂一级A提标改造、工业园区污水处理厂优化及提标改造、北氧化塘</w:t>
      </w:r>
      <w:r>
        <w:rPr>
          <w:rFonts w:hint="eastAsia" w:cs="Times New Roman"/>
          <w:highlight w:val="none"/>
          <w:lang w:val="en-US" w:eastAsia="zh-CN"/>
        </w:rPr>
        <w:t>、航运社区氧化塘生态环保工程建设</w:t>
      </w:r>
      <w:r>
        <w:rPr>
          <w:rFonts w:hint="default" w:ascii="Times New Roman" w:hAnsi="Times New Roman" w:cs="Times New Roman"/>
          <w:highlight w:val="none"/>
        </w:rPr>
        <w:t>项目</w:t>
      </w:r>
      <w:r>
        <w:rPr>
          <w:rFonts w:hint="default" w:ascii="Times New Roman" w:hAnsi="Times New Roman" w:cs="Times New Roman"/>
          <w:highlight w:val="none"/>
          <w:lang w:eastAsia="zh-Hans"/>
        </w:rPr>
        <w:t>。</w:t>
      </w:r>
      <w:r>
        <w:rPr>
          <w:rFonts w:hint="default" w:ascii="Times New Roman" w:hAnsi="Times New Roman" w:eastAsia="仿宋" w:cs="Times New Roman"/>
          <w:color w:val="auto"/>
          <w:szCs w:val="32"/>
          <w:highlight w:val="none"/>
        </w:rPr>
        <w:t>工业园区涉及蒸煮木材企业全部接入排水管网，食品公司、草原穆香涉屠宰企业废水预处理设施稳定运行，纳入污水厂统一处理，</w:t>
      </w:r>
      <w:r>
        <w:rPr>
          <w:rFonts w:hint="default" w:ascii="Times New Roman" w:hAnsi="Times New Roman" w:cs="Times New Roman"/>
          <w:color w:val="auto"/>
          <w:szCs w:val="32"/>
          <w:highlight w:val="none"/>
        </w:rPr>
        <w:t>工业园区污水处理厂</w:t>
      </w:r>
      <w:r>
        <w:rPr>
          <w:rFonts w:hint="eastAsia" w:cs="Times New Roman"/>
          <w:color w:val="auto"/>
          <w:szCs w:val="32"/>
          <w:highlight w:val="none"/>
          <w:lang w:eastAsia="zh-CN"/>
        </w:rPr>
        <w:t>、</w:t>
      </w:r>
      <w:r>
        <w:rPr>
          <w:rFonts w:hint="default" w:ascii="Times New Roman" w:hAnsi="Times New Roman" w:cs="Times New Roman"/>
          <w:color w:val="auto"/>
          <w:szCs w:val="32"/>
          <w:highlight w:val="none"/>
        </w:rPr>
        <w:t>生活污水处理厂排水19项环保监督性指标全部达标，中水回用达到要求。</w:t>
      </w:r>
      <w:r>
        <w:rPr>
          <w:rFonts w:hint="default" w:ascii="Times New Roman" w:hAnsi="Times New Roman" w:eastAsia="仿宋" w:cs="Times New Roman"/>
          <w:color w:val="auto"/>
          <w:szCs w:val="32"/>
          <w:highlight w:val="none"/>
        </w:rPr>
        <w:t>加强医疗废水环境监管力度，开展口腔医疗机构专项整治，12家口腔医疗机构医疗污水收集消毒预处理设施全部安装完成。</w:t>
      </w:r>
      <w:r>
        <w:rPr>
          <w:rFonts w:hint="eastAsia" w:cs="Times New Roman"/>
          <w:highlight w:val="none"/>
          <w:lang w:val="en-US" w:eastAsia="zh-CN"/>
        </w:rPr>
        <w:t>十三五期间</w:t>
      </w:r>
      <w:r>
        <w:rPr>
          <w:rFonts w:hint="default" w:ascii="Times New Roman" w:hAnsi="Times New Roman" w:cs="Times New Roman"/>
          <w:highlight w:val="none"/>
        </w:rPr>
        <w:t>，</w:t>
      </w:r>
      <w:r>
        <w:rPr>
          <w:rFonts w:hint="eastAsia" w:cs="Times New Roman"/>
          <w:highlight w:val="none"/>
          <w:lang w:val="en-US" w:eastAsia="zh-CN"/>
        </w:rPr>
        <w:t>COD</w:t>
      </w:r>
      <w:r>
        <w:rPr>
          <w:rFonts w:hint="default" w:ascii="Times New Roman" w:hAnsi="Times New Roman" w:cs="Times New Roman"/>
          <w:highlight w:val="none"/>
        </w:rPr>
        <w:t>减排约</w:t>
      </w:r>
      <w:r>
        <w:rPr>
          <w:rFonts w:hint="eastAsia" w:cs="Times New Roman"/>
          <w:highlight w:val="none"/>
          <w:lang w:val="en-US" w:eastAsia="zh-CN"/>
        </w:rPr>
        <w:t>3247</w:t>
      </w:r>
      <w:r>
        <w:rPr>
          <w:rFonts w:hint="default" w:ascii="Times New Roman" w:hAnsi="Times New Roman" w:cs="Times New Roman"/>
          <w:highlight w:val="none"/>
        </w:rPr>
        <w:t>吨、NOx减排约</w:t>
      </w:r>
      <w:r>
        <w:rPr>
          <w:rFonts w:hint="eastAsia" w:cs="Times New Roman"/>
          <w:highlight w:val="none"/>
          <w:lang w:val="en-US" w:eastAsia="zh-CN"/>
        </w:rPr>
        <w:t>565</w:t>
      </w:r>
      <w:r>
        <w:rPr>
          <w:rFonts w:hint="default" w:ascii="Times New Roman" w:hAnsi="Times New Roman" w:cs="Times New Roman"/>
          <w:highlight w:val="none"/>
        </w:rPr>
        <w:t>吨。</w:t>
      </w:r>
    </w:p>
    <w:p w14:paraId="0DB85787">
      <w:pPr>
        <w:spacing w:line="240" w:lineRule="auto"/>
        <w:ind w:firstLine="643"/>
        <w:rPr>
          <w:rFonts w:hint="default" w:ascii="Times New Roman" w:hAnsi="Times New Roman" w:eastAsia="仿宋" w:cs="Times New Roman"/>
          <w:bCs/>
          <w:color w:val="auto"/>
          <w:kern w:val="0"/>
          <w:szCs w:val="32"/>
          <w:highlight w:val="none"/>
        </w:rPr>
      </w:pPr>
      <w:r>
        <w:rPr>
          <w:rFonts w:hint="default" w:ascii="Times New Roman" w:hAnsi="Times New Roman" w:cs="Times New Roman"/>
          <w:b/>
          <w:bCs/>
          <w:highlight w:val="none"/>
        </w:rPr>
        <w:t>扎实推进净土保卫战。</w:t>
      </w:r>
      <w:r>
        <w:rPr>
          <w:rFonts w:hint="default" w:ascii="Times New Roman" w:hAnsi="Times New Roman" w:eastAsia="仿宋" w:cs="Times New Roman"/>
          <w:bCs/>
          <w:color w:val="auto"/>
          <w:kern w:val="0"/>
          <w:szCs w:val="32"/>
          <w:highlight w:val="none"/>
        </w:rPr>
        <w:t>完善固废</w:t>
      </w:r>
      <w:r>
        <w:rPr>
          <w:rFonts w:hint="default" w:ascii="Times New Roman" w:hAnsi="Times New Roman" w:eastAsia="仿宋" w:cs="Times New Roman"/>
          <w:bCs/>
          <w:color w:val="auto"/>
          <w:kern w:val="0"/>
          <w:szCs w:val="32"/>
          <w:highlight w:val="none"/>
          <w:lang w:eastAsia="zh-Hans"/>
        </w:rPr>
        <w:t>处置</w:t>
      </w:r>
      <w:r>
        <w:rPr>
          <w:rFonts w:hint="default" w:ascii="Times New Roman" w:hAnsi="Times New Roman" w:eastAsia="仿宋" w:cs="Times New Roman"/>
          <w:bCs/>
          <w:color w:val="auto"/>
          <w:kern w:val="0"/>
          <w:szCs w:val="32"/>
          <w:highlight w:val="none"/>
        </w:rPr>
        <w:t>设施建设，</w:t>
      </w:r>
      <w:r>
        <w:rPr>
          <w:rFonts w:hint="eastAsia" w:eastAsia="仿宋" w:cs="Times New Roman"/>
          <w:bCs/>
          <w:color w:val="auto"/>
          <w:kern w:val="0"/>
          <w:szCs w:val="32"/>
          <w:highlight w:val="none"/>
          <w:lang w:val="en-US" w:eastAsia="zh-CN"/>
        </w:rPr>
        <w:t>工业园区渣厂、</w:t>
      </w:r>
      <w:r>
        <w:rPr>
          <w:rFonts w:hint="default" w:ascii="Times New Roman" w:hAnsi="Times New Roman" w:eastAsia="仿宋" w:cs="Times New Roman"/>
          <w:bCs/>
          <w:color w:val="auto"/>
          <w:kern w:val="0"/>
          <w:szCs w:val="32"/>
          <w:highlight w:val="none"/>
        </w:rPr>
        <w:t>生活垃圾填埋场</w:t>
      </w:r>
      <w:r>
        <w:rPr>
          <w:rFonts w:hint="eastAsia" w:eastAsia="仿宋" w:cs="Times New Roman"/>
          <w:bCs/>
          <w:color w:val="auto"/>
          <w:kern w:val="0"/>
          <w:szCs w:val="32"/>
          <w:highlight w:val="none"/>
          <w:lang w:val="en-US" w:eastAsia="zh-CN"/>
        </w:rPr>
        <w:t>建成投用</w:t>
      </w:r>
      <w:r>
        <w:rPr>
          <w:rFonts w:hint="default" w:ascii="Times New Roman" w:hAnsi="Times New Roman" w:eastAsia="仿宋" w:cs="Times New Roman"/>
          <w:bCs/>
          <w:color w:val="auto"/>
          <w:kern w:val="0"/>
          <w:szCs w:val="32"/>
          <w:highlight w:val="none"/>
        </w:rPr>
        <w:t>，达赉湖热电厂新建灰渣场项目通过环评审批</w:t>
      </w:r>
      <w:r>
        <w:rPr>
          <w:rFonts w:hint="default" w:ascii="Times New Roman" w:hAnsi="Times New Roman" w:eastAsia="仿宋" w:cs="Times New Roman"/>
          <w:bCs/>
          <w:color w:val="auto"/>
          <w:kern w:val="0"/>
          <w:szCs w:val="32"/>
          <w:highlight w:val="none"/>
          <w:lang w:eastAsia="zh-Hans"/>
        </w:rPr>
        <w:t>。</w:t>
      </w:r>
      <w:r>
        <w:rPr>
          <w:rFonts w:hint="default" w:ascii="Times New Roman" w:hAnsi="Times New Roman" w:eastAsia="仿宋" w:cs="Times New Roman"/>
          <w:bCs/>
          <w:color w:val="auto"/>
          <w:kern w:val="0"/>
          <w:szCs w:val="32"/>
          <w:highlight w:val="none"/>
        </w:rPr>
        <w:t>开展工业企业固废整治，实行工业固废台帐管理，园区企业工业固废、扎煤公司矸石全部实现安全处置。达赉湖热电原储灰场开展闭坑工作，完成了场地平整和复土</w:t>
      </w:r>
      <w:r>
        <w:rPr>
          <w:rFonts w:hint="default" w:ascii="Times New Roman" w:hAnsi="Times New Roman" w:eastAsia="仿宋" w:cs="Times New Roman"/>
          <w:bCs/>
          <w:color w:val="auto"/>
          <w:kern w:val="0"/>
          <w:szCs w:val="32"/>
          <w:highlight w:val="none"/>
          <w:lang w:eastAsia="zh-Hans"/>
        </w:rPr>
        <w:t>。</w:t>
      </w:r>
      <w:r>
        <w:rPr>
          <w:rFonts w:hint="default" w:ascii="Times New Roman" w:hAnsi="Times New Roman" w:eastAsia="仿宋" w:cs="Times New Roman"/>
          <w:bCs/>
          <w:color w:val="000000"/>
          <w:kern w:val="0"/>
          <w:szCs w:val="32"/>
          <w:highlight w:val="none"/>
        </w:rPr>
        <w:t>强化危险废物监督管理，对涉及废油工业企业进行了集中整治，完善了工业企业废机油、污水厂在线监测比对液等危废贮存设施。</w:t>
      </w:r>
      <w:r>
        <w:rPr>
          <w:rFonts w:hint="default" w:ascii="Times New Roman" w:hAnsi="Times New Roman" w:eastAsia="仿宋" w:cs="Times New Roman"/>
          <w:bCs/>
          <w:color w:val="auto"/>
          <w:kern w:val="0"/>
          <w:szCs w:val="32"/>
          <w:highlight w:val="none"/>
        </w:rPr>
        <w:t>开展严厉打击危险废物环境犯罪行为专项整治行动，对重点行业进行全面摸排；开展汽修行业和废铅蓄电池集中治理，强化医疗机构医疗废物贮存、运输监督管理，8家产危废企业和医疗机构全部完成《内蒙古自治区固体废物管理信息系统》年度固体废物年报及产废计划申报备案工作</w:t>
      </w:r>
      <w:r>
        <w:rPr>
          <w:rFonts w:hint="default" w:ascii="Times New Roman" w:hAnsi="Times New Roman" w:eastAsia="仿宋" w:cs="Times New Roman"/>
          <w:bCs/>
          <w:color w:val="auto"/>
          <w:kern w:val="0"/>
          <w:szCs w:val="32"/>
          <w:highlight w:val="none"/>
          <w:lang w:eastAsia="zh-Hans"/>
        </w:rPr>
        <w:t>；</w:t>
      </w:r>
      <w:r>
        <w:rPr>
          <w:rFonts w:hint="default" w:ascii="Times New Roman" w:hAnsi="Times New Roman" w:cs="Times New Roman"/>
          <w:color w:val="auto"/>
          <w:highlight w:val="none"/>
        </w:rPr>
        <w:t>统计摸排全区耕地基本情况，为农业面源污染治理工作提供基础资料</w:t>
      </w:r>
      <w:r>
        <w:rPr>
          <w:rFonts w:hint="default" w:ascii="Times New Roman" w:hAnsi="Times New Roman" w:cs="Times New Roman"/>
          <w:color w:val="auto"/>
          <w:highlight w:val="none"/>
          <w:lang w:eastAsia="zh-Hans"/>
        </w:rPr>
        <w:t>。</w:t>
      </w:r>
      <w:r>
        <w:rPr>
          <w:rFonts w:hint="eastAsia" w:eastAsia="仿宋" w:cs="Times New Roman"/>
          <w:bCs/>
          <w:color w:val="auto"/>
          <w:kern w:val="0"/>
          <w:szCs w:val="32"/>
          <w:highlight w:val="none"/>
          <w:lang w:val="en-US" w:eastAsia="zh-CN"/>
        </w:rPr>
        <w:t>开展</w:t>
      </w:r>
      <w:r>
        <w:rPr>
          <w:rFonts w:hint="default" w:ascii="Times New Roman" w:hAnsi="Times New Roman" w:eastAsia="仿宋" w:cs="Times New Roman"/>
          <w:bCs/>
          <w:color w:val="auto"/>
          <w:kern w:val="0"/>
          <w:szCs w:val="32"/>
          <w:highlight w:val="none"/>
        </w:rPr>
        <w:t>加油站地下油罐防渗改造工作，6个加油站、34个油罐</w:t>
      </w:r>
      <w:r>
        <w:rPr>
          <w:rFonts w:hint="eastAsia" w:eastAsia="仿宋" w:cs="Times New Roman"/>
          <w:bCs/>
          <w:color w:val="auto"/>
          <w:kern w:val="0"/>
          <w:szCs w:val="32"/>
          <w:highlight w:val="none"/>
          <w:lang w:val="en-US" w:eastAsia="zh-CN"/>
        </w:rPr>
        <w:t>全部完成防渗改造</w:t>
      </w:r>
      <w:r>
        <w:rPr>
          <w:rFonts w:hint="default" w:ascii="Times New Roman" w:hAnsi="Times New Roman" w:eastAsia="仿宋" w:cs="Times New Roman"/>
          <w:bCs/>
          <w:color w:val="auto"/>
          <w:kern w:val="0"/>
          <w:szCs w:val="32"/>
          <w:highlight w:val="none"/>
          <w:lang w:eastAsia="zh-Hans"/>
        </w:rPr>
        <w:t>；</w:t>
      </w:r>
      <w:r>
        <w:rPr>
          <w:rFonts w:hint="default" w:ascii="Times New Roman" w:hAnsi="Times New Roman" w:eastAsia="仿宋" w:cs="Times New Roman"/>
          <w:bCs/>
          <w:color w:val="auto"/>
          <w:kern w:val="0"/>
          <w:szCs w:val="32"/>
          <w:highlight w:val="none"/>
        </w:rPr>
        <w:t>部署规模化畜禽养殖场整治工作，完善了3家较大规模畜禽养殖污染防治设施，规模化畜禽养殖场粪污处理设施配套率达到100%。</w:t>
      </w:r>
    </w:p>
    <w:p w14:paraId="3979FFBD">
      <w:pPr>
        <w:pStyle w:val="5"/>
        <w:bidi w:val="0"/>
        <w:rPr>
          <w:highlight w:val="none"/>
        </w:rPr>
      </w:pPr>
      <w:bookmarkStart w:id="72" w:name="_Toc88954766"/>
      <w:bookmarkStart w:id="73" w:name="_Toc30205"/>
      <w:bookmarkStart w:id="74" w:name="_Toc88955309"/>
      <w:bookmarkStart w:id="75" w:name="_Toc30488"/>
      <w:bookmarkStart w:id="76" w:name="_Toc1344"/>
      <w:r>
        <w:rPr>
          <w:highlight w:val="none"/>
        </w:rPr>
        <w:t>扎实推进中央环保</w:t>
      </w:r>
      <w:r>
        <w:rPr>
          <w:rFonts w:hint="eastAsia"/>
          <w:highlight w:val="none"/>
          <w:lang w:val="en-US" w:eastAsia="zh-CN"/>
        </w:rPr>
        <w:t>督察</w:t>
      </w:r>
      <w:r>
        <w:rPr>
          <w:highlight w:val="none"/>
        </w:rPr>
        <w:t>整改工作</w:t>
      </w:r>
      <w:bookmarkEnd w:id="72"/>
      <w:bookmarkEnd w:id="73"/>
      <w:bookmarkEnd w:id="74"/>
      <w:bookmarkEnd w:id="75"/>
      <w:bookmarkEnd w:id="76"/>
    </w:p>
    <w:p w14:paraId="1A665FC8">
      <w:pPr>
        <w:overflowPunct w:val="0"/>
        <w:autoSpaceDE w:val="0"/>
        <w:autoSpaceDN w:val="0"/>
        <w:spacing w:line="240" w:lineRule="auto"/>
        <w:ind w:firstLine="640"/>
        <w:rPr>
          <w:rFonts w:eastAsia="仿宋" w:cs="Times New Roman"/>
          <w:color w:val="FF0000"/>
          <w:szCs w:val="32"/>
          <w:highlight w:val="none"/>
        </w:rPr>
      </w:pPr>
      <w:r>
        <w:rPr>
          <w:rFonts w:hint="eastAsia"/>
          <w:highlight w:val="none"/>
          <w:lang w:val="en-US" w:eastAsia="zh-CN"/>
        </w:rPr>
        <w:t>中央环保督察</w:t>
      </w:r>
      <w:bookmarkStart w:id="1818" w:name="_GoBack"/>
      <w:bookmarkEnd w:id="1818"/>
      <w:r>
        <w:rPr>
          <w:rFonts w:hint="eastAsia"/>
          <w:highlight w:val="none"/>
          <w:lang w:val="en-US" w:eastAsia="zh-CN"/>
        </w:rPr>
        <w:t>整改工作</w:t>
      </w:r>
      <w:r>
        <w:rPr>
          <w:rFonts w:hint="eastAsia"/>
          <w:highlight w:val="none"/>
        </w:rPr>
        <w:t>有序开展。</w:t>
      </w:r>
      <w:r>
        <w:rPr>
          <w:highlight w:val="none"/>
        </w:rPr>
        <w:t>2016年中央环保督察</w:t>
      </w:r>
      <w:r>
        <w:rPr>
          <w:rFonts w:hint="eastAsia"/>
          <w:highlight w:val="none"/>
        </w:rPr>
        <w:t>反馈意见</w:t>
      </w:r>
      <w:r>
        <w:rPr>
          <w:highlight w:val="none"/>
        </w:rPr>
        <w:t>涉及我区14项问题、2018年环保督察</w:t>
      </w:r>
      <w:r>
        <w:rPr>
          <w:rFonts w:hint="eastAsia"/>
          <w:highlight w:val="none"/>
        </w:rPr>
        <w:t>“</w:t>
      </w:r>
      <w:r>
        <w:rPr>
          <w:highlight w:val="none"/>
        </w:rPr>
        <w:t>回头看</w:t>
      </w:r>
      <w:r>
        <w:rPr>
          <w:rFonts w:hint="eastAsia"/>
          <w:highlight w:val="none"/>
        </w:rPr>
        <w:t>”</w:t>
      </w:r>
      <w:r>
        <w:rPr>
          <w:highlight w:val="none"/>
        </w:rPr>
        <w:t>及草原专项督察涉及我区17项整改任务，</w:t>
      </w:r>
      <w:r>
        <w:rPr>
          <w:rFonts w:hint="eastAsia"/>
          <w:highlight w:val="none"/>
        </w:rPr>
        <w:t>均已</w:t>
      </w:r>
      <w:r>
        <w:rPr>
          <w:highlight w:val="none"/>
        </w:rPr>
        <w:t>全部完成整改销号；环保督察</w:t>
      </w:r>
      <w:r>
        <w:rPr>
          <w:rFonts w:hint="eastAsia"/>
          <w:highlight w:val="none"/>
        </w:rPr>
        <w:t>“</w:t>
      </w:r>
      <w:r>
        <w:rPr>
          <w:highlight w:val="none"/>
        </w:rPr>
        <w:t>回头看</w:t>
      </w:r>
      <w:r>
        <w:rPr>
          <w:rFonts w:hint="eastAsia"/>
          <w:highlight w:val="none"/>
        </w:rPr>
        <w:t>”</w:t>
      </w:r>
      <w:r>
        <w:rPr>
          <w:highlight w:val="none"/>
        </w:rPr>
        <w:t>期间群众举报问题5个，均已办结销号。</w:t>
      </w:r>
      <w:r>
        <w:rPr>
          <w:rFonts w:hint="eastAsia"/>
          <w:highlight w:val="none"/>
          <w:lang w:val="en-US" w:eastAsia="zh-CN"/>
        </w:rPr>
        <w:t>2020年</w:t>
      </w:r>
      <w:r>
        <w:rPr>
          <w:highlight w:val="none"/>
        </w:rPr>
        <w:t>自治区环保督察整改任务扎实推进</w:t>
      </w:r>
      <w:r>
        <w:rPr>
          <w:rFonts w:hint="eastAsia"/>
          <w:highlight w:val="none"/>
        </w:rPr>
        <w:t>，</w:t>
      </w:r>
      <w:r>
        <w:rPr>
          <w:rFonts w:cs="Times New Roman"/>
          <w:color w:val="auto"/>
          <w:szCs w:val="32"/>
          <w:highlight w:val="none"/>
          <w:shd w:val="clear" w:color="auto" w:fill="FFFFFF"/>
        </w:rPr>
        <w:t>制定了《扎赉诺尔区贯彻落实自治区生态环境保护督察反馈意见整改方案》，建立了整改任务清单，明确了任务目标、细化了责任措施，确保整改逐项梳理、问题有效解决。自治区环保督察反馈问题涉及扎区13项整改任务全部整改完成；</w:t>
      </w:r>
      <w:r>
        <w:rPr>
          <w:rFonts w:eastAsia="仿宋" w:cs="Times New Roman"/>
          <w:color w:val="auto"/>
          <w:szCs w:val="32"/>
          <w:highlight w:val="none"/>
        </w:rPr>
        <w:t>督察期间转办信访件共9批次14件，全部办结完成。</w:t>
      </w:r>
    </w:p>
    <w:p w14:paraId="5BE525BA">
      <w:pPr>
        <w:pStyle w:val="5"/>
        <w:bidi w:val="0"/>
        <w:rPr>
          <w:highlight w:val="none"/>
        </w:rPr>
      </w:pPr>
      <w:bookmarkStart w:id="77" w:name="_Toc29244"/>
      <w:bookmarkStart w:id="78" w:name="_Toc88954767"/>
      <w:bookmarkStart w:id="79" w:name="_Toc18219"/>
      <w:bookmarkStart w:id="80" w:name="_Toc29321"/>
      <w:bookmarkStart w:id="81" w:name="_Toc88955310"/>
      <w:r>
        <w:rPr>
          <w:highlight w:val="none"/>
        </w:rPr>
        <w:t>环境监管机制与执法监督能力显著提升</w:t>
      </w:r>
      <w:bookmarkEnd w:id="77"/>
      <w:bookmarkEnd w:id="78"/>
      <w:bookmarkEnd w:id="79"/>
      <w:bookmarkEnd w:id="80"/>
      <w:bookmarkEnd w:id="81"/>
    </w:p>
    <w:p w14:paraId="15724698">
      <w:pPr>
        <w:ind w:firstLine="640"/>
        <w:rPr>
          <w:highlight w:val="none"/>
        </w:rPr>
      </w:pPr>
      <w:r>
        <w:rPr>
          <w:highlight w:val="none"/>
        </w:rPr>
        <w:t>一是加大日常监管力度。通过日检夜查、双随机、定期与不定期检查相结合的方式，对全区工业企业环评制度执行情况、</w:t>
      </w:r>
      <w:r>
        <w:rPr>
          <w:rFonts w:hint="eastAsia"/>
          <w:highlight w:val="none"/>
        </w:rPr>
        <w:t>“</w:t>
      </w:r>
      <w:r>
        <w:rPr>
          <w:highlight w:val="none"/>
        </w:rPr>
        <w:t>三同时</w:t>
      </w:r>
      <w:r>
        <w:rPr>
          <w:rFonts w:hint="eastAsia"/>
          <w:highlight w:val="none"/>
        </w:rPr>
        <w:t>”</w:t>
      </w:r>
      <w:r>
        <w:rPr>
          <w:highlight w:val="none"/>
        </w:rPr>
        <w:t>制度落实情况、污染治理设施运行及污染物排放情况等方面进行全面检查。同时，加大环境违法行为查处力度，严厉查处企业未批先建、批建不符、超标排放等环境违法行为。2016年至2020年立案查处环境违法行为50起</w:t>
      </w:r>
      <w:r>
        <w:rPr>
          <w:rFonts w:hint="eastAsia"/>
          <w:highlight w:val="none"/>
          <w:lang w:eastAsia="zh-CN"/>
        </w:rPr>
        <w:t>，</w:t>
      </w:r>
      <w:r>
        <w:rPr>
          <w:rFonts w:hint="eastAsia"/>
          <w:highlight w:val="none"/>
          <w:lang w:val="en-US" w:eastAsia="zh-CN"/>
        </w:rPr>
        <w:t>处罚金额118.66087万元</w:t>
      </w:r>
      <w:r>
        <w:rPr>
          <w:highlight w:val="none"/>
        </w:rPr>
        <w:t>。</w:t>
      </w:r>
    </w:p>
    <w:p w14:paraId="51984781">
      <w:pPr>
        <w:ind w:firstLine="640"/>
        <w:rPr>
          <w:highlight w:val="none"/>
        </w:rPr>
      </w:pPr>
      <w:r>
        <w:rPr>
          <w:highlight w:val="none"/>
        </w:rPr>
        <w:t>二是开展专项检查。联合卫生局、交通局、安监局等部门组织开展了危险化学品、危险废弃物、矿山开采、砖瓦企业、口腔诊所等一系列专项整治和检查行动，对辖区内危险化学品使用、危废贮存、矿山开采企业、口腔诊所整治情况进行全面检查</w:t>
      </w:r>
      <w:r>
        <w:rPr>
          <w:rFonts w:hint="eastAsia"/>
          <w:highlight w:val="none"/>
          <w:lang w:val="en-US" w:eastAsia="zh-CN"/>
        </w:rPr>
        <w:t>和</w:t>
      </w:r>
      <w:r>
        <w:rPr>
          <w:highlight w:val="none"/>
        </w:rPr>
        <w:t>环境隐患排查，着重解决群众反映突出的环境问题。</w:t>
      </w:r>
    </w:p>
    <w:p w14:paraId="593137CF">
      <w:pPr>
        <w:ind w:firstLine="640"/>
        <w:rPr>
          <w:highlight w:val="none"/>
        </w:rPr>
      </w:pPr>
      <w:r>
        <w:rPr>
          <w:rFonts w:hint="eastAsia"/>
          <w:highlight w:val="none"/>
        </w:rPr>
        <w:t>三是</w:t>
      </w:r>
      <w:r>
        <w:rPr>
          <w:highlight w:val="none"/>
        </w:rPr>
        <w:t>加大监管能力建设，积极向上争取监管能力建设资金，购置了环境监测设备。</w:t>
      </w:r>
      <w:r>
        <w:rPr>
          <w:rFonts w:hint="eastAsia"/>
          <w:highlight w:val="none"/>
          <w:lang w:val="en-US" w:eastAsia="zh-CN"/>
        </w:rPr>
        <w:t>承接了小河口水质监测站运行维护，空气环境质量监测站建成投用，扎赉诺尔区实现环境空气质量实时监测</w:t>
      </w:r>
      <w:r>
        <w:rPr>
          <w:highlight w:val="none"/>
        </w:rPr>
        <w:t>。</w:t>
      </w:r>
    </w:p>
    <w:p w14:paraId="75625E63">
      <w:pPr>
        <w:spacing w:after="312"/>
        <w:ind w:firstLine="640"/>
        <w:rPr>
          <w:highlight w:val="none"/>
        </w:rPr>
      </w:pPr>
      <w:r>
        <w:rPr>
          <w:rFonts w:hint="eastAsia"/>
          <w:highlight w:val="none"/>
        </w:rPr>
        <w:t>四是</w:t>
      </w:r>
      <w:r>
        <w:rPr>
          <w:highlight w:val="none"/>
        </w:rPr>
        <w:t>严把项目审批关和验收关。加强与相关部门沟通和联系，共同把关，对不符合环保要求的项目，一律不予审批。同时，积极对接上级环保部门，帮助企业协调解决项目审批、验收、监测过程中存在的问题和困难。</w:t>
      </w:r>
    </w:p>
    <w:p w14:paraId="63403CE4">
      <w:pPr>
        <w:pStyle w:val="5"/>
        <w:bidi w:val="0"/>
        <w:rPr>
          <w:highlight w:val="none"/>
        </w:rPr>
      </w:pPr>
      <w:bookmarkStart w:id="82" w:name="_Toc88954768"/>
      <w:bookmarkStart w:id="83" w:name="_Toc8606"/>
      <w:bookmarkStart w:id="84" w:name="_Toc88955311"/>
      <w:bookmarkStart w:id="85" w:name="_Toc20597"/>
      <w:bookmarkStart w:id="86" w:name="_Toc32200"/>
      <w:r>
        <w:rPr>
          <w:highlight w:val="none"/>
        </w:rPr>
        <w:t>强化源头控制，绿色发展环境进一步优化</w:t>
      </w:r>
      <w:bookmarkEnd w:id="82"/>
      <w:bookmarkEnd w:id="83"/>
      <w:bookmarkEnd w:id="84"/>
      <w:bookmarkEnd w:id="85"/>
      <w:bookmarkEnd w:id="86"/>
    </w:p>
    <w:p w14:paraId="3035757D">
      <w:pPr>
        <w:ind w:firstLine="640"/>
        <w:rPr>
          <w:highlight w:val="none"/>
        </w:rPr>
      </w:pPr>
      <w:r>
        <w:rPr>
          <w:rFonts w:hint="eastAsia"/>
          <w:highlight w:val="none"/>
        </w:rPr>
        <w:t>加快产业结构调整，重点培育发展新兴产业，启动循环经济园区创建工作，谋划了以清洁能源为基础、低污染加工为主导、高科技高附加值生产为引领、废弃物循环利用为保障的绿色低碳工业产业体系。优化能源结构，开展流通领域煤炭质量监督检查，完成城区锅炉整治和园区供热管网项目建设，扩大集中供热覆盖面积，拆除城市棚户区及老旧平房2380户，削减原煤散烧量；推进清洁能源建设，</w:t>
      </w:r>
      <w:r>
        <w:rPr>
          <w:rFonts w:hint="eastAsia"/>
          <w:highlight w:val="none"/>
          <w:lang w:val="en-US" w:eastAsia="zh-CN"/>
        </w:rPr>
        <w:t>旗通2万千瓦光伏项目建设完成，</w:t>
      </w:r>
      <w:r>
        <w:rPr>
          <w:rFonts w:hint="eastAsia"/>
          <w:highlight w:val="none"/>
        </w:rPr>
        <w:t>华能10万千瓦光伏电站项目启动实施；推广新能源汽车应用，推进20、22路公交车辆更换，新能源车辆比例达到15.38%。严把项目审批关，坚决守住生态线、环境底线和资源上线，</w:t>
      </w:r>
      <w:r>
        <w:rPr>
          <w:rFonts w:hint="eastAsia"/>
          <w:highlight w:val="none"/>
          <w:lang w:val="en-US" w:eastAsia="zh-CN"/>
        </w:rPr>
        <w:t>十三五期间</w:t>
      </w:r>
      <w:r>
        <w:rPr>
          <w:rFonts w:hint="eastAsia"/>
          <w:color w:val="auto"/>
          <w:highlight w:val="none"/>
        </w:rPr>
        <w:t>，审批建设项目环境影响评价报告书（表）</w:t>
      </w:r>
      <w:r>
        <w:rPr>
          <w:rFonts w:hint="eastAsia"/>
          <w:color w:val="auto"/>
          <w:highlight w:val="none"/>
          <w:lang w:val="en-US" w:eastAsia="zh-CN"/>
        </w:rPr>
        <w:t>76</w:t>
      </w:r>
      <w:r>
        <w:rPr>
          <w:rFonts w:hint="eastAsia"/>
          <w:color w:val="auto"/>
          <w:highlight w:val="none"/>
        </w:rPr>
        <w:t>个，备案登记表</w:t>
      </w:r>
      <w:r>
        <w:rPr>
          <w:rFonts w:hint="eastAsia"/>
          <w:color w:val="auto"/>
          <w:highlight w:val="none"/>
          <w:lang w:val="en-US" w:eastAsia="zh-CN"/>
        </w:rPr>
        <w:t>249</w:t>
      </w:r>
      <w:r>
        <w:rPr>
          <w:rFonts w:hint="eastAsia"/>
          <w:color w:val="auto"/>
          <w:highlight w:val="none"/>
        </w:rPr>
        <w:t>个，</w:t>
      </w:r>
      <w:r>
        <w:rPr>
          <w:rFonts w:hint="eastAsia"/>
          <w:color w:val="auto"/>
          <w:highlight w:val="none"/>
          <w:lang w:val="en-US" w:eastAsia="zh-CN"/>
        </w:rPr>
        <w:t>85</w:t>
      </w:r>
      <w:r>
        <w:rPr>
          <w:rFonts w:hint="eastAsia"/>
          <w:color w:val="auto"/>
          <w:highlight w:val="none"/>
        </w:rPr>
        <w:t>家企业纳入排污许可制度管理</w:t>
      </w:r>
      <w:r>
        <w:rPr>
          <w:color w:val="auto"/>
          <w:highlight w:val="none"/>
        </w:rPr>
        <w:t>。</w:t>
      </w:r>
    </w:p>
    <w:p w14:paraId="7BB25983">
      <w:pPr>
        <w:pStyle w:val="4"/>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rPr>
          <w:highlight w:val="none"/>
        </w:rPr>
      </w:pPr>
      <w:bookmarkStart w:id="87" w:name="_Toc88954770"/>
      <w:bookmarkStart w:id="88" w:name="_Toc24332"/>
      <w:bookmarkStart w:id="89" w:name="_Toc1057"/>
      <w:bookmarkStart w:id="90" w:name="_Toc88955313"/>
      <w:bookmarkStart w:id="91" w:name="_Toc21885"/>
      <w:r>
        <w:rPr>
          <w:rFonts w:hint="eastAsia"/>
          <w:highlight w:val="none"/>
        </w:rPr>
        <w:t>存在的主要问题</w:t>
      </w:r>
      <w:bookmarkEnd w:id="87"/>
      <w:bookmarkEnd w:id="88"/>
      <w:bookmarkEnd w:id="89"/>
      <w:bookmarkEnd w:id="90"/>
      <w:bookmarkEnd w:id="91"/>
    </w:p>
    <w:p w14:paraId="579CB9B8">
      <w:pPr>
        <w:ind w:firstLine="640"/>
        <w:rPr>
          <w:highlight w:val="none"/>
        </w:rPr>
      </w:pPr>
      <w:r>
        <w:rPr>
          <w:rFonts w:hint="eastAsia"/>
          <w:highlight w:val="none"/>
        </w:rPr>
        <w:t>总体上，近五年扎赉诺尔区在生态环境建设、环境污染治理、环境监管能力建设及其他方面均取得了较好的成果</w:t>
      </w:r>
      <w:r>
        <w:rPr>
          <w:rFonts w:hint="eastAsia"/>
          <w:highlight w:val="none"/>
          <w:lang w:eastAsia="zh-CN"/>
        </w:rPr>
        <w:t>。</w:t>
      </w:r>
      <w:r>
        <w:rPr>
          <w:rFonts w:hint="eastAsia"/>
          <w:highlight w:val="none"/>
          <w:lang w:val="en-US" w:eastAsia="zh-CN"/>
        </w:rPr>
        <w:t>但是在</w:t>
      </w:r>
      <w:r>
        <w:rPr>
          <w:rFonts w:hint="eastAsia"/>
          <w:highlight w:val="none"/>
        </w:rPr>
        <w:t>生态环境保护工作取得积极进展的同时，也存在着一些问题和不足。</w:t>
      </w:r>
    </w:p>
    <w:p w14:paraId="1BF49C19">
      <w:pPr>
        <w:pStyle w:val="5"/>
        <w:bidi w:val="0"/>
        <w:rPr>
          <w:highlight w:val="none"/>
        </w:rPr>
      </w:pPr>
      <w:bookmarkStart w:id="92" w:name="_Toc2002"/>
      <w:bookmarkStart w:id="93" w:name="_Toc4374"/>
      <w:bookmarkStart w:id="94" w:name="_Toc88954771"/>
      <w:bookmarkStart w:id="95" w:name="_Toc88955314"/>
      <w:bookmarkStart w:id="96" w:name="_Toc17593"/>
      <w:r>
        <w:rPr>
          <w:rFonts w:hint="eastAsia"/>
          <w:highlight w:val="none"/>
        </w:rPr>
        <w:t>污染</w:t>
      </w:r>
      <w:r>
        <w:rPr>
          <w:rFonts w:hint="eastAsia"/>
          <w:highlight w:val="none"/>
          <w:lang w:val="en-US" w:eastAsia="zh-CN"/>
        </w:rPr>
        <w:t>防治</w:t>
      </w:r>
      <w:r>
        <w:rPr>
          <w:highlight w:val="none"/>
        </w:rPr>
        <w:t>工作任重道远</w:t>
      </w:r>
      <w:bookmarkEnd w:id="92"/>
      <w:bookmarkEnd w:id="93"/>
      <w:bookmarkEnd w:id="94"/>
      <w:bookmarkEnd w:id="95"/>
      <w:bookmarkEnd w:id="96"/>
    </w:p>
    <w:p w14:paraId="01B2B45D">
      <w:pPr>
        <w:ind w:firstLine="640"/>
        <w:rPr>
          <w:rFonts w:hint="default" w:eastAsia="仿宋_GB2312"/>
          <w:highlight w:val="none"/>
          <w:lang w:val="en-US" w:eastAsia="zh-CN"/>
        </w:rPr>
      </w:pPr>
      <w:r>
        <w:rPr>
          <w:rFonts w:hint="eastAsia"/>
          <w:color w:val="181717" w:themeColor="background2" w:themeShade="1A"/>
          <w:highlight w:val="none"/>
          <w:lang w:val="en-US" w:eastAsia="zh-CN"/>
        </w:rPr>
        <w:t>大气污染防治工作任务艰巨，由于城市建设和热源接入条件限制，城区占比较大的平房区原煤散烧问题突出，相比实现城市清洁取暖要求差距较大</w:t>
      </w:r>
      <w:r>
        <w:rPr>
          <w:rFonts w:hint="eastAsia"/>
          <w:highlight w:val="none"/>
        </w:rPr>
        <w:t>。</w:t>
      </w:r>
      <w:r>
        <w:rPr>
          <w:rFonts w:hint="eastAsia"/>
          <w:highlight w:val="none"/>
          <w:lang w:val="en-US" w:eastAsia="zh-CN"/>
        </w:rPr>
        <w:t>水污染防治形势不容乐观，城区排水管道老化，污水收集、雨水分流设施建设滞后，污水溢流隐患依然存在。土壤污染防治存在短板，粉煤灰、矸石等一般工业固废综合利用能力不足，环境风险管控难度加大；地下水环境质量底数不清。城市环境基础薄弱，历史遗留问题加多，餐饮油烟、畜禽养殖、环境卫生等影响群众生活的污染问题仍未得到彻底解决，环境应急处置能力还需进一步提高。</w:t>
      </w:r>
    </w:p>
    <w:p w14:paraId="7FCBA9E2">
      <w:pPr>
        <w:pStyle w:val="5"/>
        <w:bidi w:val="0"/>
        <w:rPr>
          <w:highlight w:val="none"/>
        </w:rPr>
      </w:pPr>
      <w:bookmarkStart w:id="97" w:name="_Toc2553"/>
      <w:bookmarkStart w:id="98" w:name="_Toc88955317"/>
      <w:bookmarkStart w:id="99" w:name="_Toc88954774"/>
      <w:bookmarkStart w:id="100" w:name="_Toc3875"/>
      <w:bookmarkStart w:id="101" w:name="_Toc11249"/>
      <w:r>
        <w:rPr>
          <w:highlight w:val="none"/>
        </w:rPr>
        <w:t>生态环境保护体制机制不够健全</w:t>
      </w:r>
      <w:bookmarkEnd w:id="97"/>
      <w:bookmarkEnd w:id="98"/>
      <w:bookmarkEnd w:id="99"/>
      <w:bookmarkEnd w:id="100"/>
      <w:bookmarkEnd w:id="101"/>
    </w:p>
    <w:p w14:paraId="26383173">
      <w:pPr>
        <w:ind w:firstLine="640"/>
        <w:rPr>
          <w:highlight w:val="none"/>
        </w:rPr>
      </w:pPr>
      <w:r>
        <w:rPr>
          <w:rFonts w:hint="eastAsia"/>
          <w:highlight w:val="none"/>
        </w:rPr>
        <w:t>环境监管能力薄弱，现有的机构编制、人员配备不足，环境监察执法装备落后，不具备环境监测能力。环保干部队伍整体业务能力</w:t>
      </w:r>
      <w:r>
        <w:rPr>
          <w:rFonts w:hint="eastAsia"/>
          <w:highlight w:val="none"/>
          <w:lang w:val="en-US" w:eastAsia="zh-CN"/>
        </w:rPr>
        <w:t>不强</w:t>
      </w:r>
      <w:r>
        <w:rPr>
          <w:rFonts w:hint="eastAsia"/>
          <w:highlight w:val="none"/>
        </w:rPr>
        <w:t>，尤其缺少专业技术人员，一些职能职责无法正常行使，与新形势新任务新要求均存在较大的差距。环境保护工作整体运行机制不完善，职责明确、长效统一的监管机制还未真正建立。部分单位环境保护意识不强、重视不够，各部门各司其责、有效联动、综合治理、齐抓共管的环境保护局面还没有真正形成。产业结构调整动力和后劲不足，缺少真正带动性发展的项目，没有建立起</w:t>
      </w:r>
      <w:r>
        <w:rPr>
          <w:rFonts w:hint="eastAsia"/>
          <w:highlight w:val="none"/>
          <w:lang w:val="zh-CN"/>
        </w:rPr>
        <w:t>统一的绿色产业发展规划和目标。</w:t>
      </w:r>
    </w:p>
    <w:p w14:paraId="04D3AAB3">
      <w:pPr>
        <w:pStyle w:val="5"/>
        <w:bidi w:val="0"/>
        <w:rPr>
          <w:highlight w:val="none"/>
        </w:rPr>
      </w:pPr>
      <w:bookmarkStart w:id="102" w:name="_Toc88955318"/>
      <w:bookmarkStart w:id="103" w:name="_Toc14585"/>
      <w:bookmarkStart w:id="104" w:name="_Toc5940"/>
      <w:bookmarkStart w:id="105" w:name="_Toc3969"/>
      <w:bookmarkStart w:id="106" w:name="_Toc88954775"/>
      <w:r>
        <w:rPr>
          <w:highlight w:val="none"/>
        </w:rPr>
        <w:t>生态环境保护投入力度依然不足</w:t>
      </w:r>
      <w:bookmarkEnd w:id="102"/>
      <w:bookmarkEnd w:id="103"/>
      <w:bookmarkEnd w:id="104"/>
      <w:bookmarkEnd w:id="105"/>
      <w:bookmarkEnd w:id="106"/>
    </w:p>
    <w:p w14:paraId="229D32E1">
      <w:pPr>
        <w:ind w:firstLine="640"/>
        <w:rPr>
          <w:highlight w:val="none"/>
        </w:rPr>
      </w:pPr>
      <w:r>
        <w:rPr>
          <w:rFonts w:hint="eastAsia"/>
          <w:highlight w:val="none"/>
        </w:rPr>
        <w:t>我区生态环境保护工作面临很多困难和挑战，治理方式上重行政手段轻经济手段、重监管轻服务的问题依然存在，对企业治污管理缺少财政奖励、税收优惠、投资补贴等激励政策，资金缺口较大成为影响生态环境治理工作的重要影响因素。国家减排政策、补贴措施等在我区的支持力度较小，各项治理资金缺口较大，影响治理项目推进；一些历史遗留问题试点项目和污染源综合治理项目，均受资金因素制约，实施进度较为缓慢；生态环境治理投入渠道单一，市场化投融资机制有待进一步完善；此外我区多数存量企业实力不强，资金短缺，设备落后，环保改造投入不足问题比较突出；多数生态环境综合整治项目，比如呼伦湖流域综合治理涉及生态保护修复工作、禽畜养殖污染集中处理设施建设等，治理难度大，需要的资金投入大，落实见效周期较长，需长期坚持推进，我区财力有限，后续资金驱动乏力，资金缺口问题不容忽视。</w:t>
      </w:r>
    </w:p>
    <w:p w14:paraId="5D472679">
      <w:pPr>
        <w:pStyle w:val="4"/>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rPr>
          <w:highlight w:val="none"/>
        </w:rPr>
      </w:pPr>
      <w:bookmarkStart w:id="107" w:name="_Toc12875"/>
      <w:bookmarkStart w:id="108" w:name="_Toc13424"/>
      <w:bookmarkStart w:id="109" w:name="_Toc88955319"/>
      <w:bookmarkStart w:id="110" w:name="_Toc29591"/>
      <w:bookmarkStart w:id="111" w:name="_Toc88954776"/>
      <w:r>
        <w:rPr>
          <w:rFonts w:hint="eastAsia"/>
          <w:highlight w:val="none"/>
        </w:rPr>
        <w:t>面临的机遇与挑战</w:t>
      </w:r>
      <w:bookmarkEnd w:id="107"/>
      <w:bookmarkEnd w:id="108"/>
      <w:bookmarkEnd w:id="109"/>
      <w:bookmarkEnd w:id="110"/>
      <w:bookmarkEnd w:id="111"/>
    </w:p>
    <w:p w14:paraId="5A24D4C6">
      <w:pPr>
        <w:pStyle w:val="5"/>
        <w:rPr>
          <w:highlight w:val="none"/>
        </w:rPr>
      </w:pPr>
      <w:bookmarkStart w:id="112" w:name="_Toc7141"/>
      <w:bookmarkStart w:id="113" w:name="_Toc88954777"/>
      <w:bookmarkStart w:id="114" w:name="_Toc88955320"/>
      <w:bookmarkStart w:id="115" w:name="_Toc25918"/>
      <w:bookmarkStart w:id="116" w:name="_Toc16663"/>
      <w:r>
        <w:rPr>
          <w:highlight w:val="none"/>
        </w:rPr>
        <w:t>面临的机遇</w:t>
      </w:r>
      <w:bookmarkEnd w:id="112"/>
      <w:bookmarkEnd w:id="113"/>
      <w:bookmarkEnd w:id="114"/>
      <w:bookmarkEnd w:id="115"/>
      <w:bookmarkEnd w:id="116"/>
    </w:p>
    <w:p w14:paraId="0311BE46">
      <w:pPr>
        <w:ind w:firstLine="0"/>
        <w:rPr>
          <w:rFonts w:hint="eastAsia" w:eastAsia="仿宋_GB2312"/>
          <w:b w:val="0"/>
          <w:bCs w:val="0"/>
          <w:highlight w:val="none"/>
          <w:lang w:val="en-US" w:eastAsia="zh-CN"/>
        </w:rPr>
      </w:pPr>
      <w:r>
        <w:rPr>
          <w:rFonts w:hint="eastAsia"/>
          <w:b w:val="0"/>
          <w:bCs w:val="0"/>
          <w:highlight w:val="none"/>
          <w:lang w:val="en-US" w:eastAsia="zh-CN"/>
        </w:rPr>
        <w:t>“十四五”时期，“一带一路”建设、国家主体功能区、新一轮东北振兴、西北大开发、碳达峰碳中和等国家重大战略在我区均有体现，为我区高质量发展带来了多重政策支持。上级方面，自治区推动东中西部盟市差异化协调发展，将东部盟市生态极端重要性摆在更加突出的位置，呼伦贝尔市要求我们把保护好大草原、大河湖、大湿地作为主要任务，这些为我区坚定不移地推进绿色发展提供了强大的动力支撑。我区高度重视生态环境保护，坚持走生态优先、绿色发展之路，确定了“生态产业化、产业生态化”的发展方向，为生态环境持续改善创造了较多条件。高质量发展扎实推进，经济基础日益雄厚，制度优势逐步显现，改革红利持续释放，全社会保护生态环境合力进一步增强，将为我们在新发展阶段更加做好生态环境保护、协助筑牢国家北方生态安全屏障奠定坚实基础。</w:t>
      </w:r>
    </w:p>
    <w:p w14:paraId="49971495">
      <w:pPr>
        <w:ind w:firstLine="0"/>
        <w:rPr>
          <w:highlight w:val="none"/>
        </w:rPr>
      </w:pPr>
      <w:r>
        <w:rPr>
          <w:rFonts w:hint="eastAsia"/>
          <w:b w:val="0"/>
          <w:bCs w:val="0"/>
          <w:highlight w:val="none"/>
        </w:rPr>
        <w:t>一是国家及自治区的高度重视有利于生态环境保护工作的有效促进。</w:t>
      </w:r>
      <w:r>
        <w:rPr>
          <w:rFonts w:hint="eastAsia"/>
          <w:highlight w:val="none"/>
        </w:rPr>
        <w:t>特别是党的十八大以来，各级党委政府高度重视生态环境保护，秉持绿水青山就是金山银山的重要理念，倡导人与自然和谐共生，把生态文明建设纳入发展总体布局，坚持走生态优先、绿色发展之路，共筑生态文明之基，全面落实和保护生态环境，不断加大工作和投入力度，为我区推进工作提供了重要方向指引和根本政治保障。</w:t>
      </w:r>
    </w:p>
    <w:p w14:paraId="73BF3100">
      <w:pPr>
        <w:ind w:firstLine="643"/>
        <w:rPr>
          <w:highlight w:val="none"/>
        </w:rPr>
      </w:pPr>
      <w:r>
        <w:rPr>
          <w:rFonts w:hint="eastAsia"/>
          <w:b/>
          <w:bCs/>
          <w:highlight w:val="none"/>
        </w:rPr>
        <w:t>二是经济高质量发展的积极推动有利于生态环境保护工作的有效开展。</w:t>
      </w:r>
      <w:r>
        <w:rPr>
          <w:rFonts w:hint="eastAsia"/>
          <w:highlight w:val="none"/>
        </w:rPr>
        <w:t>推动经济高质量发展与加强生态环境保护相辅相成。中央及自治区经济工作会议强调，要坚持新发展理念、坚持推动高质量发展、坚持以供给侧结构性改革为主线，提出推动制造业高质量发展、扎实推进乡村振兴战略、促进区域协调发展等重点任务。推进这些工作，将进一步从源头减少污染物排放，为改善生态环境质量发挥重要促进作用。</w:t>
      </w:r>
    </w:p>
    <w:p w14:paraId="42A517AF">
      <w:pPr>
        <w:ind w:firstLine="643"/>
        <w:rPr>
          <w:highlight w:val="none"/>
        </w:rPr>
      </w:pPr>
      <w:r>
        <w:rPr>
          <w:rFonts w:hint="eastAsia"/>
          <w:b/>
          <w:bCs/>
          <w:highlight w:val="none"/>
        </w:rPr>
        <w:t>三是宏观经济和财政政策的大力支持有利于生态环境保护工作的有效推进。</w:t>
      </w:r>
      <w:r>
        <w:rPr>
          <w:rFonts w:hint="eastAsia"/>
          <w:highlight w:val="none"/>
        </w:rPr>
        <w:t>中央及自治区持续强化生态环境保护资金投入，有效促进生态环境保护项目的落地。中央及自治区经济工作会议明确提出，积极的财政政策要加力提效，较大幅度增加地方政府专项债券规模；稳健的货币政策要松紧适度，解决好企业融资难融资贵问题。这些部署为加快推进生态环保项目建设、进一步强化生态环境治理提供了较好的宏观政策环境和社会预期。</w:t>
      </w:r>
    </w:p>
    <w:p w14:paraId="33773903">
      <w:pPr>
        <w:ind w:firstLine="643"/>
        <w:rPr>
          <w:highlight w:val="none"/>
        </w:rPr>
      </w:pPr>
      <w:r>
        <w:rPr>
          <w:rFonts w:hint="eastAsia"/>
          <w:b/>
          <w:bCs/>
          <w:highlight w:val="none"/>
        </w:rPr>
        <w:t>四是体制机制改革的红利惠及有利于生态环境保护工作的有效落地。</w:t>
      </w:r>
      <w:r>
        <w:rPr>
          <w:rFonts w:hint="eastAsia"/>
          <w:highlight w:val="none"/>
        </w:rPr>
        <w:t>随着生态环境管理体制机制改革逐步推进，生态环境机构、生态环境保护综合行政执法、自治区以下环保机构垂改等改革陆续到位，将进一步理顺部门职责关系，畅通监管体制机制，夯实基层监管执法能力，再加上国家治理体系和治理能力现代化建设及生态文明建设其他多项改革措施落地见效，将为生态环境保护工作的推动提供坚强的体制机制保障。</w:t>
      </w:r>
    </w:p>
    <w:p w14:paraId="60796973">
      <w:pPr>
        <w:ind w:firstLine="643"/>
        <w:rPr>
          <w:highlight w:val="none"/>
        </w:rPr>
      </w:pPr>
      <w:r>
        <w:rPr>
          <w:rFonts w:hint="eastAsia"/>
          <w:b/>
          <w:bCs/>
          <w:highlight w:val="none"/>
        </w:rPr>
        <w:t>五是全面建成小康社会的要求有利于生态环境保护工作有效改善。</w:t>
      </w:r>
      <w:r>
        <w:rPr>
          <w:rFonts w:hint="eastAsia"/>
          <w:highlight w:val="none"/>
        </w:rPr>
        <w:t>良好的生态环境，是全面建成小康社会的基础条件，是最普惠的民生福祉。环境就是民生，青山就是美丽，蓝天也是幸福。美丽中国是人民群众共同参与共同建设共同享有的事业，生态文明建设同每个人息息相关。让良好生态环境成为人民幸福生活的增长点、成为经济社会持续健康发展的支撑点、成为展现扎赉诺尔区良好形象的发力点，小康社会的全面建成将成为生态环境保护工作最大的推动力。</w:t>
      </w:r>
    </w:p>
    <w:p w14:paraId="0027304B">
      <w:pPr>
        <w:pStyle w:val="5"/>
        <w:bidi w:val="0"/>
        <w:rPr>
          <w:highlight w:val="none"/>
        </w:rPr>
      </w:pPr>
      <w:bookmarkStart w:id="117" w:name="_Toc88954778"/>
      <w:bookmarkStart w:id="118" w:name="_Toc14608"/>
      <w:bookmarkStart w:id="119" w:name="_Toc88955321"/>
      <w:bookmarkStart w:id="120" w:name="_Toc26736"/>
      <w:bookmarkStart w:id="121" w:name="_Toc20356"/>
      <w:r>
        <w:rPr>
          <w:highlight w:val="none"/>
        </w:rPr>
        <w:t>面临的挑战</w:t>
      </w:r>
      <w:bookmarkEnd w:id="117"/>
      <w:bookmarkEnd w:id="118"/>
      <w:bookmarkEnd w:id="119"/>
      <w:bookmarkEnd w:id="120"/>
      <w:bookmarkEnd w:id="121"/>
    </w:p>
    <w:p w14:paraId="5D4A0EAE">
      <w:pPr>
        <w:ind w:firstLine="643"/>
        <w:rPr>
          <w:highlight w:val="none"/>
        </w:rPr>
      </w:pPr>
      <w:r>
        <w:rPr>
          <w:rFonts w:hint="eastAsia"/>
          <w:b/>
          <w:bCs/>
          <w:highlight w:val="none"/>
        </w:rPr>
        <w:t>一是改革举措落地较难，监管阻力不断增大。</w:t>
      </w:r>
      <w:r>
        <w:rPr>
          <w:rFonts w:hint="eastAsia"/>
          <w:highlight w:val="none"/>
        </w:rPr>
        <w:t>社会成本和生态环境成本高于资源型产品生产开发成本，“重发展轻环保”的思维惯性较强，短时间内无法转变，生态环境监管部门的重要性虽不断增强，但刚性约束不足、能力和体制机制建设薄弱，缺乏对产业绿色高质量发展的源头引领和新技术的探索应用，系统性整体性协同性的生态环保制度政策以及市场化机制落地效力难以立竿见影，生态环境监管压力将不断增大。</w:t>
      </w:r>
    </w:p>
    <w:p w14:paraId="7E017DD0">
      <w:pPr>
        <w:ind w:firstLine="643"/>
        <w:rPr>
          <w:highlight w:val="none"/>
        </w:rPr>
      </w:pPr>
      <w:r>
        <w:rPr>
          <w:rFonts w:hint="eastAsia"/>
          <w:b/>
          <w:bCs/>
          <w:highlight w:val="none"/>
        </w:rPr>
        <w:t>二是</w:t>
      </w:r>
      <w:r>
        <w:rPr>
          <w:rFonts w:hint="eastAsia"/>
          <w:b/>
          <w:bCs/>
          <w:highlight w:val="none"/>
          <w:lang w:val="en-US" w:eastAsia="zh-CN"/>
        </w:rPr>
        <w:t>产业结构较为落后</w:t>
      </w:r>
      <w:r>
        <w:rPr>
          <w:rFonts w:hint="eastAsia"/>
          <w:b/>
          <w:bCs/>
          <w:highlight w:val="none"/>
        </w:rPr>
        <w:t>，环境压力持续增加。</w:t>
      </w:r>
      <w:r>
        <w:rPr>
          <w:rFonts w:hint="eastAsia"/>
          <w:highlight w:val="none"/>
        </w:rPr>
        <w:t>短期内全区产业</w:t>
      </w:r>
      <w:r>
        <w:rPr>
          <w:rFonts w:hint="eastAsia"/>
          <w:highlight w:val="none"/>
          <w:lang w:val="en-US" w:eastAsia="zh-CN"/>
        </w:rPr>
        <w:t>发展一煤独大局面</w:t>
      </w:r>
      <w:r>
        <w:rPr>
          <w:rFonts w:hint="eastAsia"/>
          <w:highlight w:val="none"/>
        </w:rPr>
        <w:t>难以发生根本性扭转。再者，在推动产业结构、能源结构、交通运输结构和农业投入结构调整方面，仍对传统产业存在路径依赖，结构性污染问题依然突出，生态环境质量改善压力将会持续增加。</w:t>
      </w:r>
    </w:p>
    <w:p w14:paraId="63F065AF">
      <w:pPr>
        <w:ind w:firstLine="643"/>
        <w:rPr>
          <w:highlight w:val="none"/>
        </w:rPr>
      </w:pPr>
      <w:r>
        <w:rPr>
          <w:rFonts w:hint="eastAsia"/>
          <w:b/>
          <w:bCs/>
          <w:highlight w:val="none"/>
        </w:rPr>
        <w:t>三是环境提升成本上升，质量改善难度加大。</w:t>
      </w:r>
      <w:r>
        <w:rPr>
          <w:rFonts w:hint="eastAsia"/>
          <w:highlight w:val="none"/>
        </w:rPr>
        <w:t>尽管我区生态环境保护工作取得了明显进步，走过了攻坚克难期，不再“欠新账”，但仍未走出“还旧账”的阶段，生态环境保护依然滞后于经济社会发展大局，生态环境保护依然任重道远。此外，当相对容易解决的生态环境问题已经得到普遍改善，生态环境质量从“不及格”提升到“及格”时，要进一步将生态环境质量从“及格”提升到“良”乃至“优”，所须付出的边际成本会愈发高昂且难度会愈发加大。</w:t>
      </w:r>
    </w:p>
    <w:p w14:paraId="7A829B39">
      <w:pPr>
        <w:ind w:firstLine="643"/>
        <w:rPr>
          <w:highlight w:val="none"/>
        </w:rPr>
        <w:sectPr>
          <w:pgSz w:w="11906" w:h="16838"/>
          <w:pgMar w:top="1440" w:right="1800" w:bottom="1440" w:left="1800" w:header="851" w:footer="992" w:gutter="0"/>
          <w:pgNumType w:fmt="numberInDash"/>
          <w:cols w:space="425" w:num="1"/>
          <w:docGrid w:type="lines" w:linePitch="312" w:charSpace="0"/>
        </w:sectPr>
      </w:pPr>
      <w:r>
        <w:rPr>
          <w:rFonts w:hint="eastAsia"/>
          <w:b/>
          <w:bCs/>
          <w:highlight w:val="none"/>
          <w:lang w:val="en-US" w:eastAsia="zh-CN"/>
        </w:rPr>
        <w:t>四</w:t>
      </w:r>
      <w:r>
        <w:rPr>
          <w:rFonts w:hint="eastAsia"/>
          <w:b/>
          <w:bCs/>
          <w:highlight w:val="none"/>
        </w:rPr>
        <w:t>是环境供需矛盾凸显，适应形势要求提高。</w:t>
      </w:r>
      <w:r>
        <w:rPr>
          <w:rFonts w:hint="eastAsia"/>
          <w:highlight w:val="none"/>
        </w:rPr>
        <w:t>社会公众环境权益观不断增强，人民群众对优质生态产品需求不断增加，但与现有供给能力不足之间的矛盾日益明显，环境保护问题已成为全社会关注的热点。公众的参与和维权，媒体和舆情的监督，环境信息的公开，是环境保护工作的新形势和新要求。</w:t>
      </w:r>
    </w:p>
    <w:p w14:paraId="1F6B6B79">
      <w:pPr>
        <w:pStyle w:val="3"/>
        <w:keepNext w:val="0"/>
        <w:keepLines w:val="0"/>
        <w:pageBreakBefore w:val="0"/>
        <w:widowControl w:val="0"/>
        <w:kinsoku/>
        <w:wordWrap/>
        <w:overflowPunct/>
        <w:topLinePunct w:val="0"/>
        <w:autoSpaceDE/>
        <w:autoSpaceDN/>
        <w:bidi w:val="0"/>
        <w:adjustRightInd/>
        <w:snapToGrid/>
        <w:textAlignment w:val="auto"/>
        <w:rPr>
          <w:highlight w:val="none"/>
        </w:rPr>
      </w:pPr>
      <w:bookmarkStart w:id="122" w:name="_Toc88954779"/>
      <w:bookmarkStart w:id="123" w:name="_Toc88955322"/>
      <w:bookmarkStart w:id="124" w:name="_Toc7076"/>
      <w:bookmarkStart w:id="125" w:name="_Toc17652"/>
      <w:bookmarkStart w:id="126" w:name="_Toc22118"/>
      <w:r>
        <w:rPr>
          <w:rFonts w:hint="eastAsia"/>
          <w:highlight w:val="none"/>
        </w:rPr>
        <w:t>指导思想、原则与目标</w:t>
      </w:r>
      <w:bookmarkEnd w:id="122"/>
      <w:bookmarkEnd w:id="123"/>
      <w:bookmarkEnd w:id="124"/>
      <w:bookmarkEnd w:id="125"/>
      <w:bookmarkEnd w:id="126"/>
    </w:p>
    <w:p w14:paraId="19F12F52">
      <w:pPr>
        <w:pStyle w:val="4"/>
        <w:keepNext w:val="0"/>
        <w:keepLines w:val="0"/>
        <w:pageBreakBefore w:val="0"/>
        <w:widowControl w:val="0"/>
        <w:kinsoku/>
        <w:wordWrap/>
        <w:overflowPunct/>
        <w:topLinePunct w:val="0"/>
        <w:autoSpaceDE/>
        <w:autoSpaceDN/>
        <w:bidi w:val="0"/>
        <w:adjustRightInd/>
        <w:snapToGrid/>
        <w:textAlignment w:val="auto"/>
        <w:rPr>
          <w:highlight w:val="none"/>
        </w:rPr>
      </w:pPr>
      <w:bookmarkStart w:id="127" w:name="_Toc88954780"/>
      <w:bookmarkStart w:id="128" w:name="_Toc88955323"/>
      <w:bookmarkStart w:id="129" w:name="_Toc14991"/>
      <w:bookmarkStart w:id="130" w:name="_Toc18509"/>
      <w:bookmarkStart w:id="131" w:name="_Toc6527"/>
      <w:r>
        <w:rPr>
          <w:rFonts w:hint="eastAsia"/>
          <w:highlight w:val="none"/>
        </w:rPr>
        <w:t>指导思想</w:t>
      </w:r>
      <w:bookmarkEnd w:id="127"/>
      <w:bookmarkEnd w:id="128"/>
      <w:bookmarkEnd w:id="129"/>
      <w:bookmarkEnd w:id="130"/>
      <w:bookmarkEnd w:id="131"/>
    </w:p>
    <w:p w14:paraId="35500E03">
      <w:pPr>
        <w:ind w:left="0" w:firstLine="640" w:firstLineChars="200"/>
        <w:rPr>
          <w:rFonts w:hint="eastAsia"/>
          <w:highlight w:val="none"/>
        </w:rPr>
      </w:pPr>
      <w:r>
        <w:rPr>
          <w:rFonts w:hint="eastAsia"/>
          <w:highlight w:val="none"/>
          <w:lang w:val="en-US" w:eastAsia="zh-CN"/>
        </w:rPr>
        <w:t>高举中国特色社会主义伟大旗帜，以习近平新时代中国特色社会主义思想为指导，深入贯彻党的十九大和十九届历次全会精神，全面落实习近平生态文明思想和习近平总书记对内蒙古重要讲话重要指示批示精神，认真贯彻落实自治区第十一次党代会、市第五次党代会精神，立足新发展阶段，贯彻新发展理念，服务融入新发展格局，全面深化改革开放，坚持创新驱动发展，统筹发展和安全，牢牢立足“两个屏障”“两个基地”和“一个桥头堡”的战略定位，坚定不移走生态优先、绿色发展之路，保持加强生态文明建设战略定力，深入贯彻落实“三线一单”生态环境分区管控措施，</w:t>
      </w:r>
      <w:r>
        <w:rPr>
          <w:rFonts w:hint="eastAsia" w:ascii="仿宋_GB2312" w:hAnsi="黑体" w:eastAsia="仿宋_GB2312" w:cs="Times New Roman"/>
          <w:bCs/>
          <w:kern w:val="2"/>
          <w:sz w:val="32"/>
          <w:szCs w:val="32"/>
          <w:highlight w:val="none"/>
          <w:lang w:val="en-US" w:eastAsia="zh-CN" w:bidi="ar-SA"/>
        </w:rPr>
        <w:t>严格“一单”、守牢“三线”，</w:t>
      </w:r>
      <w:r>
        <w:rPr>
          <w:rFonts w:hint="eastAsia"/>
          <w:highlight w:val="none"/>
          <w:lang w:val="en-US" w:eastAsia="zh-CN"/>
        </w:rPr>
        <w:t>持续改善生态环境质量，协同推进经济高质量发展与生态环境高水平保护，围绕碳达峰、碳中和目标愿景，推进减污降碳协同治理，加快实现绿色低碳发展，提升生态系统稳定性和可持续性，推进生态环境治理体系和治理能力现代化，牢固树立“绿水青山就是金山银山”理念，促进人与自然和谐共生，</w:t>
      </w:r>
      <w:r>
        <w:rPr>
          <w:rFonts w:hint="eastAsia" w:ascii="仿宋_GB2312" w:hAnsi="黑体" w:eastAsia="仿宋_GB2312" w:cs="Times New Roman"/>
          <w:bCs/>
          <w:kern w:val="2"/>
          <w:sz w:val="32"/>
          <w:szCs w:val="32"/>
          <w:highlight w:val="none"/>
          <w:lang w:val="en-US" w:eastAsia="zh-CN" w:bidi="ar-SA"/>
        </w:rPr>
        <w:t>坚决守好北方重要生态安全屏障，守好祖国北疆这道亮丽风景线。</w:t>
      </w:r>
    </w:p>
    <w:p w14:paraId="304E3B69">
      <w:pPr>
        <w:pStyle w:val="4"/>
        <w:keepNext w:val="0"/>
        <w:keepLines w:val="0"/>
        <w:pageBreakBefore w:val="0"/>
        <w:widowControl w:val="0"/>
        <w:kinsoku/>
        <w:wordWrap/>
        <w:overflowPunct/>
        <w:topLinePunct w:val="0"/>
        <w:autoSpaceDE/>
        <w:autoSpaceDN/>
        <w:bidi w:val="0"/>
        <w:adjustRightInd/>
        <w:snapToGrid/>
        <w:textAlignment w:val="auto"/>
        <w:rPr>
          <w:highlight w:val="none"/>
        </w:rPr>
      </w:pPr>
      <w:bookmarkStart w:id="132" w:name="_Toc7758"/>
      <w:bookmarkStart w:id="133" w:name="_Toc88954781"/>
      <w:bookmarkStart w:id="134" w:name="_Toc13769"/>
      <w:bookmarkStart w:id="135" w:name="_Toc88955324"/>
      <w:bookmarkStart w:id="136" w:name="_Toc29610"/>
      <w:r>
        <w:rPr>
          <w:rFonts w:hint="eastAsia"/>
          <w:highlight w:val="none"/>
        </w:rPr>
        <w:t>基本原则</w:t>
      </w:r>
      <w:bookmarkEnd w:id="132"/>
      <w:bookmarkEnd w:id="133"/>
      <w:bookmarkEnd w:id="134"/>
      <w:bookmarkEnd w:id="135"/>
      <w:bookmarkEnd w:id="136"/>
    </w:p>
    <w:p w14:paraId="11CAFB28">
      <w:pPr>
        <w:ind w:left="0" w:leftChars="0" w:firstLine="640" w:firstLineChars="200"/>
        <w:rPr>
          <w:rFonts w:hint="eastAsia"/>
          <w:highlight w:val="none"/>
        </w:rPr>
      </w:pPr>
      <w:bookmarkStart w:id="137" w:name="_Toc31221"/>
      <w:bookmarkStart w:id="138" w:name="_Toc1144"/>
      <w:bookmarkStart w:id="139" w:name="_Toc21692"/>
      <w:bookmarkStart w:id="140" w:name="_Toc24480"/>
      <w:bookmarkStart w:id="141" w:name="_Toc19256"/>
      <w:bookmarkStart w:id="142" w:name="_Toc30831"/>
      <w:bookmarkStart w:id="143" w:name="_Toc25335"/>
      <w:bookmarkStart w:id="144" w:name="_Toc12515"/>
      <w:bookmarkStart w:id="145" w:name="_Toc2869"/>
      <w:bookmarkStart w:id="146" w:name="_Toc13647"/>
      <w:bookmarkStart w:id="147" w:name="_Toc4364"/>
      <w:bookmarkStart w:id="148" w:name="_Toc20688"/>
      <w:bookmarkStart w:id="149" w:name="_Toc785"/>
      <w:bookmarkStart w:id="150" w:name="_Toc24156"/>
      <w:bookmarkStart w:id="151" w:name="_Toc15543"/>
      <w:bookmarkStart w:id="152" w:name="_Toc9143"/>
      <w:bookmarkStart w:id="153" w:name="_Toc29772"/>
      <w:bookmarkStart w:id="154" w:name="_Toc23485"/>
      <w:bookmarkStart w:id="155" w:name="_Toc9885"/>
      <w:bookmarkStart w:id="156" w:name="_Toc27513"/>
      <w:bookmarkStart w:id="157" w:name="_Toc25997"/>
      <w:bookmarkStart w:id="158" w:name="_Toc11603"/>
      <w:bookmarkStart w:id="159" w:name="_Toc1310"/>
      <w:bookmarkStart w:id="160" w:name="_Toc17994"/>
      <w:bookmarkStart w:id="161" w:name="_Toc22645"/>
      <w:bookmarkStart w:id="162" w:name="_Toc23314"/>
      <w:r>
        <w:rPr>
          <w:rFonts w:hint="eastAsia" w:ascii="仿宋_GB2312" w:hAnsi="仿宋_GB2312" w:eastAsia="仿宋_GB2312" w:cs="仿宋_GB2312"/>
          <w:sz w:val="32"/>
          <w:szCs w:val="32"/>
          <w:highlight w:val="none"/>
        </w:rPr>
        <w:t>坚持生态优先</w:t>
      </w:r>
      <w:r>
        <w:rPr>
          <w:rFonts w:hint="eastAsia" w:ascii="仿宋_GB2312" w:hAnsi="仿宋_GB2312" w:cs="仿宋_GB2312"/>
          <w:sz w:val="32"/>
          <w:szCs w:val="32"/>
          <w:highlight w:val="none"/>
          <w:lang w:eastAsia="zh-CN"/>
        </w:rPr>
        <w:t>、</w:t>
      </w:r>
      <w:r>
        <w:rPr>
          <w:rFonts w:hint="eastAsia" w:ascii="仿宋_GB2312" w:hAnsi="仿宋_GB2312" w:eastAsia="仿宋_GB2312" w:cs="仿宋_GB2312"/>
          <w:sz w:val="32"/>
          <w:szCs w:val="32"/>
          <w:highlight w:val="none"/>
        </w:rPr>
        <w:t>绿色发展</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ascii="仿宋_GB2312" w:hAnsi="仿宋_GB2312" w:cs="仿宋_GB2312"/>
          <w:sz w:val="32"/>
          <w:szCs w:val="32"/>
          <w:highlight w:val="none"/>
          <w:lang w:eastAsia="zh-CN"/>
        </w:rPr>
        <w:t>。</w:t>
      </w:r>
      <w:r>
        <w:rPr>
          <w:rFonts w:hint="eastAsia" w:ascii="仿宋_GB2312" w:hAnsi="仿宋_GB2312" w:eastAsia="仿宋_GB2312" w:cs="仿宋_GB2312"/>
          <w:sz w:val="32"/>
          <w:szCs w:val="32"/>
          <w:highlight w:val="none"/>
        </w:rPr>
        <w:t>坚定不移走以生态优先、绿色发展为导向的高质量发展新路子，</w:t>
      </w:r>
      <w:r>
        <w:rPr>
          <w:rFonts w:hint="eastAsia" w:ascii="仿宋_GB2312" w:hAnsi="仿宋_GB2312" w:cs="仿宋_GB2312"/>
          <w:sz w:val="32"/>
          <w:szCs w:val="32"/>
          <w:highlight w:val="none"/>
          <w:lang w:val="en-US" w:eastAsia="zh-CN"/>
        </w:rPr>
        <w:t>落实自治区</w:t>
      </w:r>
      <w:r>
        <w:rPr>
          <w:rFonts w:hint="eastAsia" w:ascii="仿宋_GB2312" w:hAnsi="仿宋_GB2312" w:eastAsia="仿宋_GB2312" w:cs="仿宋_GB2312"/>
          <w:sz w:val="32"/>
          <w:szCs w:val="32"/>
          <w:highlight w:val="none"/>
        </w:rPr>
        <w:t>“两个屏障”“两个基地”和“一个桥头堡”战略定位，共抓大保护，不搞大开发，</w:t>
      </w:r>
      <w:r>
        <w:rPr>
          <w:rFonts w:hint="eastAsia" w:ascii="仿宋_GB2312" w:hAnsi="仿宋_GB2312" w:cs="仿宋_GB2312"/>
          <w:sz w:val="32"/>
          <w:szCs w:val="32"/>
          <w:highlight w:val="none"/>
          <w:lang w:val="en-US" w:eastAsia="zh-CN"/>
        </w:rPr>
        <w:t>坚定不移走以生态优先，绿色发展为导向的高质量发展新路子。以降碳为重点战略方向，加快调整产业结构、能源结构、交通运输结构、用地结构，</w:t>
      </w:r>
      <w:r>
        <w:rPr>
          <w:rFonts w:hint="eastAsia" w:ascii="仿宋_GB2312" w:hAnsi="仿宋_GB2312" w:eastAsia="仿宋_GB2312" w:cs="仿宋_GB2312"/>
          <w:sz w:val="32"/>
          <w:szCs w:val="32"/>
          <w:highlight w:val="none"/>
        </w:rPr>
        <w:t>大力支持绿色技术创新，</w:t>
      </w:r>
      <w:r>
        <w:rPr>
          <w:rFonts w:hint="eastAsia" w:ascii="仿宋_GB2312" w:hAnsi="仿宋_GB2312" w:cs="仿宋_GB2312"/>
          <w:sz w:val="32"/>
          <w:szCs w:val="32"/>
          <w:highlight w:val="none"/>
          <w:lang w:val="en-US" w:eastAsia="zh-CN"/>
        </w:rPr>
        <w:t>推动减污降碳协同增效，</w:t>
      </w:r>
      <w:r>
        <w:rPr>
          <w:rFonts w:hint="eastAsia"/>
          <w:highlight w:val="none"/>
          <w:lang w:val="en-US" w:eastAsia="zh-CN"/>
        </w:rPr>
        <w:t>促进经济社会发展全面绿色转型。</w:t>
      </w:r>
    </w:p>
    <w:p w14:paraId="49D717D1">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bookmarkStart w:id="163" w:name="_Toc9319"/>
      <w:bookmarkStart w:id="164" w:name="_Toc123"/>
      <w:bookmarkStart w:id="165" w:name="_Toc3591"/>
      <w:bookmarkStart w:id="166" w:name="_Toc23702"/>
      <w:bookmarkStart w:id="167" w:name="_Toc22638"/>
      <w:bookmarkStart w:id="168" w:name="_Toc14335"/>
      <w:bookmarkStart w:id="169" w:name="_Toc22657"/>
      <w:bookmarkStart w:id="170" w:name="_Toc20785"/>
      <w:bookmarkStart w:id="171" w:name="_Toc5066"/>
      <w:bookmarkStart w:id="172" w:name="_Toc459"/>
      <w:bookmarkStart w:id="173" w:name="_Toc19754"/>
      <w:bookmarkStart w:id="174" w:name="_Toc12930"/>
      <w:bookmarkStart w:id="175" w:name="_Toc18050"/>
      <w:bookmarkStart w:id="176" w:name="_Toc8266"/>
      <w:bookmarkStart w:id="177" w:name="_Toc22795"/>
      <w:bookmarkStart w:id="178" w:name="_Toc15303"/>
      <w:bookmarkStart w:id="179" w:name="_Toc5385"/>
      <w:bookmarkStart w:id="180" w:name="_Toc29347"/>
      <w:bookmarkStart w:id="181" w:name="_Toc3803"/>
      <w:bookmarkStart w:id="182" w:name="_Toc14404"/>
      <w:bookmarkStart w:id="183" w:name="_Toc7087"/>
      <w:bookmarkStart w:id="184" w:name="_Toc16404"/>
      <w:bookmarkStart w:id="185" w:name="_Toc179"/>
      <w:bookmarkStart w:id="186" w:name="_Toc9246"/>
      <w:bookmarkStart w:id="187" w:name="_Toc32147"/>
      <w:r>
        <w:rPr>
          <w:rFonts w:hint="eastAsia" w:ascii="仿宋_GB2312" w:hAnsi="仿宋_GB2312" w:eastAsia="仿宋_GB2312" w:cs="仿宋_GB2312"/>
          <w:sz w:val="32"/>
          <w:szCs w:val="32"/>
          <w:highlight w:val="none"/>
        </w:rPr>
        <w:t>坚持人民至上，造福人民</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hint="eastAsia" w:ascii="仿宋_GB2312" w:hAnsi="仿宋_GB2312" w:cs="仿宋_GB2312"/>
          <w:sz w:val="32"/>
          <w:szCs w:val="32"/>
          <w:highlight w:val="none"/>
          <w:lang w:eastAsia="zh-CN"/>
        </w:rPr>
        <w:t>。</w:t>
      </w:r>
      <w:r>
        <w:rPr>
          <w:rFonts w:hint="eastAsia" w:ascii="仿宋_GB2312" w:hAnsi="仿宋_GB2312" w:eastAsia="仿宋_GB2312" w:cs="仿宋_GB2312"/>
          <w:sz w:val="32"/>
          <w:szCs w:val="32"/>
          <w:highlight w:val="none"/>
        </w:rPr>
        <w:t>全面践行以人民为中心的发展思想，把坚持人民至上、紧紧依靠人民、不断造福人民、牢牢</w:t>
      </w:r>
      <w:r>
        <w:rPr>
          <w:rFonts w:hint="eastAsia" w:ascii="仿宋_GB2312" w:hAnsi="黑体" w:eastAsia="仿宋_GB2312" w:cs="Times New Roman"/>
          <w:bCs/>
          <w:kern w:val="2"/>
          <w:sz w:val="32"/>
          <w:szCs w:val="32"/>
          <w:highlight w:val="none"/>
          <w:lang w:val="en-US" w:eastAsia="zh-CN" w:bidi="ar-SA"/>
        </w:rPr>
        <w:t>植根</w:t>
      </w:r>
      <w:r>
        <w:rPr>
          <w:rFonts w:hint="eastAsia" w:ascii="仿宋_GB2312" w:hAnsi="仿宋_GB2312" w:eastAsia="仿宋_GB2312" w:cs="仿宋_GB2312"/>
          <w:sz w:val="32"/>
          <w:szCs w:val="32"/>
          <w:highlight w:val="none"/>
        </w:rPr>
        <w:t>人民的重要要求落实到生态环境保护工作中，下大力气解决群众反映突出生态环境问题，提供更多优质生态产品，增强人民群众对生态环境改善的幸福感、获得感和安全感。</w:t>
      </w:r>
    </w:p>
    <w:p w14:paraId="40C9B2D7">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bookmarkStart w:id="188" w:name="_Toc18794"/>
      <w:bookmarkStart w:id="189" w:name="_Toc27691"/>
      <w:bookmarkStart w:id="190" w:name="_Toc24784"/>
      <w:bookmarkStart w:id="191" w:name="_Toc32671"/>
      <w:bookmarkStart w:id="192" w:name="_Toc27866"/>
      <w:bookmarkStart w:id="193" w:name="_Toc30846"/>
      <w:bookmarkStart w:id="194" w:name="_Toc20495"/>
      <w:bookmarkStart w:id="195" w:name="_Toc8523"/>
      <w:bookmarkStart w:id="196" w:name="_Toc6213"/>
      <w:bookmarkStart w:id="197" w:name="_Toc14217"/>
      <w:bookmarkStart w:id="198" w:name="_Toc8738"/>
      <w:bookmarkStart w:id="199" w:name="_Toc28782"/>
      <w:bookmarkStart w:id="200" w:name="_Toc9702"/>
      <w:bookmarkStart w:id="201" w:name="_Toc29798"/>
      <w:bookmarkStart w:id="202" w:name="_Toc5859"/>
      <w:bookmarkStart w:id="203" w:name="_Toc22250"/>
      <w:bookmarkStart w:id="204" w:name="_Toc26"/>
      <w:bookmarkStart w:id="205" w:name="_Toc26185"/>
      <w:bookmarkStart w:id="206" w:name="_Toc18066"/>
      <w:bookmarkStart w:id="207" w:name="_Toc9132"/>
      <w:bookmarkStart w:id="208" w:name="_Toc2623"/>
      <w:bookmarkStart w:id="209" w:name="_Toc13171"/>
      <w:bookmarkStart w:id="210" w:name="_Toc29726"/>
      <w:bookmarkStart w:id="211" w:name="_Toc166"/>
      <w:r>
        <w:rPr>
          <w:rFonts w:hint="eastAsia" w:ascii="仿宋_GB2312" w:hAnsi="仿宋_GB2312" w:eastAsia="仿宋_GB2312" w:cs="仿宋_GB2312"/>
          <w:sz w:val="32"/>
          <w:szCs w:val="32"/>
          <w:highlight w:val="none"/>
        </w:rPr>
        <w:t>坚持系统观念，协同治理</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Pr>
          <w:rFonts w:hint="eastAsia" w:ascii="仿宋_GB2312" w:hAnsi="仿宋_GB2312" w:cs="仿宋_GB2312"/>
          <w:sz w:val="32"/>
          <w:szCs w:val="32"/>
          <w:highlight w:val="none"/>
          <w:lang w:eastAsia="zh-CN"/>
        </w:rPr>
        <w:t>。</w:t>
      </w:r>
      <w:r>
        <w:rPr>
          <w:rFonts w:hint="eastAsia" w:ascii="仿宋_GB2312" w:hAnsi="仿宋_GB2312" w:eastAsia="仿宋_GB2312" w:cs="仿宋_GB2312"/>
          <w:sz w:val="32"/>
          <w:szCs w:val="32"/>
          <w:highlight w:val="none"/>
        </w:rPr>
        <w:t>以生态环境质量改善为核心，推动生态环境源头治理。坚持突出精准治污、科学治污、依法治污，协同推进减污降碳、推进城乡治理，强化区域联防联控。加强系统治理、协同治理，提高生态环境</w:t>
      </w:r>
      <w:r>
        <w:rPr>
          <w:rFonts w:hint="eastAsia" w:ascii="仿宋_GB2312" w:hAnsi="黑体" w:eastAsia="仿宋_GB2312" w:cs="Times New Roman"/>
          <w:bCs/>
          <w:kern w:val="2"/>
          <w:sz w:val="32"/>
          <w:szCs w:val="32"/>
          <w:highlight w:val="none"/>
          <w:lang w:val="en-US" w:eastAsia="zh-CN" w:bidi="ar-SA"/>
        </w:rPr>
        <w:t>综合治理</w:t>
      </w:r>
      <w:r>
        <w:rPr>
          <w:rFonts w:hint="eastAsia" w:ascii="仿宋_GB2312" w:hAnsi="仿宋_GB2312" w:eastAsia="仿宋_GB2312" w:cs="仿宋_GB2312"/>
          <w:sz w:val="32"/>
          <w:szCs w:val="32"/>
          <w:highlight w:val="none"/>
        </w:rPr>
        <w:t>的系统性和整体性。</w:t>
      </w:r>
    </w:p>
    <w:p w14:paraId="525518E4">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bookmarkStart w:id="212" w:name="_Toc8385"/>
      <w:bookmarkStart w:id="213" w:name="_Toc27580"/>
      <w:bookmarkStart w:id="214" w:name="_Toc28435"/>
      <w:r>
        <w:rPr>
          <w:rFonts w:hint="eastAsia" w:ascii="仿宋_GB2312" w:hAnsi="仿宋_GB2312" w:eastAsia="仿宋_GB2312" w:cs="仿宋_GB2312"/>
          <w:sz w:val="32"/>
          <w:szCs w:val="32"/>
          <w:highlight w:val="none"/>
        </w:rPr>
        <w:t>坚持政府主导，共治共享</w:t>
      </w:r>
      <w:bookmarkEnd w:id="212"/>
      <w:bookmarkEnd w:id="213"/>
      <w:bookmarkEnd w:id="214"/>
      <w:r>
        <w:rPr>
          <w:rFonts w:hint="eastAsia" w:ascii="仿宋_GB2312" w:hAnsi="仿宋_GB2312" w:cs="仿宋_GB2312"/>
          <w:sz w:val="32"/>
          <w:szCs w:val="32"/>
          <w:highlight w:val="none"/>
          <w:lang w:eastAsia="zh-CN"/>
        </w:rPr>
        <w:t>。</w:t>
      </w:r>
      <w:bookmarkStart w:id="215" w:name="_Toc19761"/>
      <w:r>
        <w:rPr>
          <w:rFonts w:hint="eastAsia" w:ascii="仿宋_GB2312" w:hAnsi="仿宋_GB2312" w:eastAsia="仿宋_GB2312" w:cs="仿宋_GB2312"/>
          <w:sz w:val="32"/>
          <w:szCs w:val="32"/>
          <w:highlight w:val="none"/>
        </w:rPr>
        <w:t>完善党委领导、政府主导、企业主体、社会组织和公众共同参与的现代环境治理体系，建设人人有责、人人尽责、人人享有的社会治理共同体，形成导向</w:t>
      </w:r>
      <w:r>
        <w:rPr>
          <w:rFonts w:hint="eastAsia" w:ascii="仿宋_GB2312" w:hAnsi="黑体" w:eastAsia="仿宋_GB2312" w:cs="Times New Roman"/>
          <w:bCs/>
          <w:kern w:val="2"/>
          <w:sz w:val="32"/>
          <w:szCs w:val="32"/>
          <w:highlight w:val="none"/>
          <w:lang w:val="en-US" w:eastAsia="zh-CN" w:bidi="ar-SA"/>
        </w:rPr>
        <w:t>清晰</w:t>
      </w:r>
      <w:r>
        <w:rPr>
          <w:rFonts w:hint="eastAsia" w:ascii="仿宋_GB2312" w:hAnsi="仿宋_GB2312" w:eastAsia="仿宋_GB2312" w:cs="仿宋_GB2312"/>
          <w:sz w:val="32"/>
          <w:szCs w:val="32"/>
          <w:highlight w:val="none"/>
        </w:rPr>
        <w:t>、决策科学、执行有力、激励有效、多元参与、良性互动的“大环保格局”。</w:t>
      </w:r>
    </w:p>
    <w:bookmarkEnd w:id="215"/>
    <w:p w14:paraId="0CF0A2B8">
      <w:pPr>
        <w:pStyle w:val="4"/>
        <w:keepNext w:val="0"/>
        <w:keepLines w:val="0"/>
        <w:pageBreakBefore w:val="0"/>
        <w:widowControl w:val="0"/>
        <w:kinsoku/>
        <w:wordWrap/>
        <w:overflowPunct/>
        <w:topLinePunct w:val="0"/>
        <w:autoSpaceDE/>
        <w:autoSpaceDN/>
        <w:bidi w:val="0"/>
        <w:adjustRightInd/>
        <w:snapToGrid/>
        <w:spacing w:before="312" w:after="312"/>
        <w:ind w:left="0" w:firstLine="0" w:firstLineChars="0"/>
        <w:textAlignment w:val="auto"/>
        <w:rPr>
          <w:highlight w:val="none"/>
        </w:rPr>
      </w:pPr>
      <w:bookmarkStart w:id="216" w:name="_Toc15011"/>
      <w:bookmarkStart w:id="217" w:name="_Toc88954782"/>
      <w:bookmarkStart w:id="218" w:name="_Toc88955325"/>
      <w:bookmarkStart w:id="219" w:name="_Toc20250"/>
      <w:bookmarkStart w:id="220" w:name="_Toc22744"/>
      <w:r>
        <w:rPr>
          <w:rFonts w:hint="eastAsia"/>
          <w:highlight w:val="none"/>
        </w:rPr>
        <w:t>主要目标</w:t>
      </w:r>
      <w:bookmarkEnd w:id="216"/>
      <w:bookmarkEnd w:id="217"/>
      <w:bookmarkEnd w:id="218"/>
      <w:bookmarkEnd w:id="219"/>
      <w:bookmarkEnd w:id="220"/>
    </w:p>
    <w:p w14:paraId="0BD2B2F3">
      <w:pPr>
        <w:ind w:left="0" w:firstLine="640" w:firstLineChars="200"/>
        <w:rPr>
          <w:rFonts w:hint="default"/>
          <w:highlight w:val="none"/>
          <w:lang w:val="en-US" w:eastAsia="zh-CN"/>
        </w:rPr>
      </w:pPr>
      <w:r>
        <w:rPr>
          <w:rFonts w:hint="eastAsia"/>
          <w:highlight w:val="none"/>
          <w:lang w:val="en-US" w:eastAsia="zh-CN"/>
        </w:rPr>
        <w:t>按照党中央的战略部署、自治区党委工作要求，到2035年基本实现社会主义现代化，综合经济实力和绿色发展水平大幅跃升，绿色生产生活方式广泛形成，碳排放达峰后稳中有降，经济社会发展全面绿色转型，生态环境根本好转。节约资源和保护生态环境的空间格局、产业结构、生产方式、生活方式总体形成，应对气候变化能力显著增强；良好的环境空气质量持续保持、水生态环境质量稳步提升、土壤生态环境安全得到有效保障；环境风险得到全面管控；城乡环境优美和谐宜居，基本满足人民对优美生态环境的需要；生态系统服务功能稳定恢复，国家北方重要生态安全屏障更加牢固；生态环境保护管理制度健全高效，生态环境治理体系和治理能力现代化基本实现。</w:t>
      </w:r>
    </w:p>
    <w:p w14:paraId="1EE3DA28">
      <w:pPr>
        <w:ind w:left="0" w:firstLine="640" w:firstLineChars="200"/>
        <w:rPr>
          <w:rFonts w:hint="default" w:ascii="仿宋_GB2312" w:hAnsi="仿宋_GB2312" w:eastAsia="仿宋_GB2312" w:cs="仿宋_GB2312"/>
          <w:sz w:val="32"/>
          <w:szCs w:val="32"/>
          <w:highlight w:val="none"/>
          <w:lang w:val="en-US" w:eastAsia="zh-CN"/>
        </w:rPr>
      </w:pPr>
      <w:r>
        <w:rPr>
          <w:rFonts w:hint="eastAsia"/>
          <w:highlight w:val="none"/>
          <w:lang w:val="en-US" w:eastAsia="zh-CN"/>
        </w:rPr>
        <w:t>综合考虑扎赉诺尔区目前生态环境现状和“十四五”期间社会经济发展趋势，</w:t>
      </w:r>
      <w:r>
        <w:rPr>
          <w:rFonts w:hint="eastAsia" w:ascii="仿宋_GB2312" w:hAnsi="仿宋_GB2312" w:eastAsia="仿宋_GB2312" w:cs="仿宋_GB2312"/>
          <w:sz w:val="32"/>
          <w:szCs w:val="32"/>
          <w:highlight w:val="none"/>
        </w:rPr>
        <w:t>立足我</w:t>
      </w:r>
      <w:r>
        <w:rPr>
          <w:rFonts w:hint="eastAsia" w:ascii="仿宋_GB2312" w:hAnsi="仿宋_GB2312" w:cs="仿宋_GB2312"/>
          <w:sz w:val="32"/>
          <w:szCs w:val="32"/>
          <w:highlight w:val="none"/>
          <w:lang w:val="en-US" w:eastAsia="zh-CN"/>
        </w:rPr>
        <w:t>区</w:t>
      </w:r>
      <w:r>
        <w:rPr>
          <w:rFonts w:hint="eastAsia" w:ascii="仿宋_GB2312" w:hAnsi="仿宋_GB2312" w:eastAsia="仿宋_GB2312" w:cs="仿宋_GB2312"/>
          <w:sz w:val="32"/>
          <w:szCs w:val="32"/>
          <w:highlight w:val="none"/>
        </w:rPr>
        <w:t>区位</w:t>
      </w:r>
      <w:r>
        <w:rPr>
          <w:rFonts w:hint="eastAsia" w:ascii="仿宋_GB2312" w:hAnsi="仿宋_GB2312" w:cs="仿宋_GB2312"/>
          <w:sz w:val="32"/>
          <w:szCs w:val="32"/>
          <w:highlight w:val="none"/>
          <w:lang w:val="en-US" w:eastAsia="zh-CN"/>
        </w:rPr>
        <w:t>特点</w:t>
      </w:r>
      <w:r>
        <w:rPr>
          <w:rFonts w:hint="eastAsia" w:ascii="仿宋_GB2312" w:hAnsi="仿宋_GB2312" w:eastAsia="仿宋_GB2312" w:cs="仿宋_GB2312"/>
          <w:sz w:val="32"/>
          <w:szCs w:val="32"/>
          <w:highlight w:val="none"/>
        </w:rPr>
        <w:t>和资源环境承载能力，以建设生态安全屏障、构筑万里绿色长城为引领，</w:t>
      </w:r>
      <w:r>
        <w:rPr>
          <w:rFonts w:hint="eastAsia" w:ascii="仿宋_GB2312" w:hAnsi="仿宋_GB2312" w:eastAsia="仿宋_GB2312" w:cs="仿宋_GB2312"/>
          <w:sz w:val="32"/>
          <w:szCs w:val="32"/>
          <w:highlight w:val="none"/>
          <w:lang w:eastAsia="zh-CN"/>
        </w:rPr>
        <w:t>以</w:t>
      </w:r>
      <w:r>
        <w:rPr>
          <w:rFonts w:hint="eastAsia" w:ascii="仿宋_GB2312" w:hAnsi="仿宋_GB2312" w:eastAsia="仿宋_GB2312" w:cs="仿宋_GB2312"/>
          <w:sz w:val="32"/>
          <w:szCs w:val="32"/>
          <w:highlight w:val="none"/>
        </w:rPr>
        <w:t>生态优先、绿色发展为导向，以保障民生、改善环境为根本，</w:t>
      </w:r>
      <w:r>
        <w:rPr>
          <w:rFonts w:hint="eastAsia" w:ascii="仿宋_GB2312" w:hAnsi="仿宋_GB2312" w:cs="仿宋_GB2312"/>
          <w:sz w:val="32"/>
          <w:szCs w:val="32"/>
          <w:highlight w:val="none"/>
          <w:lang w:val="en-US" w:eastAsia="zh-CN"/>
        </w:rPr>
        <w:t>将扎赉诺尔区建设成为生态宜居、社会和谐，经济增长的特色新区。生态的保护的主要目标：</w:t>
      </w:r>
    </w:p>
    <w:p w14:paraId="49AB899F">
      <w:pPr>
        <w:widowControl/>
        <w:ind w:firstLine="640" w:firstLineChars="200"/>
        <w:jc w:val="left"/>
        <w:rPr>
          <w:rFonts w:hint="eastAsia" w:ascii="仿宋_GB2312" w:hAnsi="黑体" w:eastAsia="仿宋_GB2312"/>
          <w:bCs/>
          <w:sz w:val="32"/>
          <w:szCs w:val="32"/>
          <w:highlight w:val="none"/>
        </w:rPr>
      </w:pPr>
      <w:r>
        <w:rPr>
          <w:rFonts w:hint="eastAsia" w:ascii="楷体_GB2312" w:hAnsi="楷体_GB2312" w:eastAsia="楷体_GB2312" w:cs="楷体_GB2312"/>
          <w:color w:val="000000"/>
          <w:sz w:val="32"/>
          <w:szCs w:val="32"/>
          <w:highlight w:val="none"/>
        </w:rPr>
        <w:t>——生态优先、绿色发展取得实质性进展。</w:t>
      </w:r>
      <w:r>
        <w:rPr>
          <w:rFonts w:hint="eastAsia" w:ascii="仿宋_GB2312" w:hAnsi="黑体" w:eastAsia="仿宋_GB2312"/>
          <w:bCs/>
          <w:sz w:val="32"/>
          <w:szCs w:val="32"/>
          <w:highlight w:val="none"/>
        </w:rPr>
        <w:t>绿色低碳发展加快推进，能源资源利用效率</w:t>
      </w:r>
      <w:r>
        <w:rPr>
          <w:rFonts w:hint="eastAsia" w:ascii="仿宋_GB2312" w:hAnsi="黑体"/>
          <w:bCs/>
          <w:sz w:val="32"/>
          <w:szCs w:val="32"/>
          <w:highlight w:val="none"/>
          <w:lang w:val="en-US" w:eastAsia="zh-CN"/>
        </w:rPr>
        <w:t>大幅</w:t>
      </w:r>
      <w:r>
        <w:rPr>
          <w:rFonts w:hint="eastAsia" w:ascii="仿宋_GB2312" w:hAnsi="黑体" w:eastAsia="仿宋_GB2312"/>
          <w:bCs/>
          <w:sz w:val="32"/>
          <w:szCs w:val="32"/>
          <w:highlight w:val="none"/>
        </w:rPr>
        <w:t>提高，碳排放强度有所下降，生产生活方式绿色转型成效明显。</w:t>
      </w:r>
    </w:p>
    <w:p w14:paraId="1EAA2E8B">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sz w:val="32"/>
          <w:szCs w:val="32"/>
          <w:highlight w:val="none"/>
        </w:rPr>
        <w:t>——生态环境质量持续改善。</w:t>
      </w:r>
      <w:r>
        <w:rPr>
          <w:rFonts w:hint="eastAsia" w:ascii="仿宋_GB2312" w:hAnsi="仿宋_GB2312" w:eastAsia="仿宋_GB2312" w:cs="仿宋_GB2312"/>
          <w:sz w:val="32"/>
          <w:szCs w:val="32"/>
          <w:highlight w:val="none"/>
        </w:rPr>
        <w:t>空气环境</w:t>
      </w:r>
      <w:r>
        <w:rPr>
          <w:rFonts w:hint="eastAsia" w:ascii="仿宋_GB2312" w:hAnsi="黑体" w:eastAsia="仿宋_GB2312" w:cs="Times New Roman"/>
          <w:bCs/>
          <w:kern w:val="2"/>
          <w:sz w:val="32"/>
          <w:szCs w:val="32"/>
          <w:highlight w:val="none"/>
          <w:lang w:val="en-US" w:eastAsia="zh-CN" w:bidi="ar-SA"/>
        </w:rPr>
        <w:t>质量</w:t>
      </w:r>
      <w:r>
        <w:rPr>
          <w:rFonts w:hint="eastAsia" w:ascii="仿宋_GB2312" w:hAnsi="仿宋_GB2312" w:eastAsia="仿宋_GB2312" w:cs="仿宋_GB2312"/>
          <w:sz w:val="32"/>
          <w:szCs w:val="32"/>
          <w:highlight w:val="none"/>
        </w:rPr>
        <w:t>继续保持，水环境质量稳步提升，土壤生态环境质量稳定向好，城乡人居环境明显改善，主要污染物排放总量持续减少。</w:t>
      </w:r>
    </w:p>
    <w:p w14:paraId="7F825F5E">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sz w:val="32"/>
          <w:szCs w:val="32"/>
          <w:highlight w:val="none"/>
        </w:rPr>
        <w:t>——生态系统质量和稳定性稳步提升。</w:t>
      </w:r>
      <w:r>
        <w:rPr>
          <w:rFonts w:hint="eastAsia" w:ascii="仿宋_GB2312" w:hAnsi="仿宋_GB2312" w:eastAsia="仿宋_GB2312" w:cs="仿宋_GB2312"/>
          <w:sz w:val="32"/>
          <w:szCs w:val="32"/>
          <w:highlight w:val="none"/>
        </w:rPr>
        <w:t>生物多样性得到有效保护，生态系统服务功能不断增强，国家北方生态安全屏障构筑的更加牢固。</w:t>
      </w:r>
    </w:p>
    <w:p w14:paraId="2F8F32BE">
      <w:pPr>
        <w:pStyle w:val="17"/>
        <w:spacing w:before="156" w:beforeLines="50" w:after="156" w:afterLines="50" w:line="360" w:lineRule="auto"/>
        <w:ind w:left="0" w:leftChars="0" w:firstLine="640"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sz w:val="32"/>
          <w:szCs w:val="32"/>
          <w:highlight w:val="none"/>
        </w:rPr>
        <w:t>——环境风险得到有效控制。</w:t>
      </w:r>
      <w:r>
        <w:rPr>
          <w:rFonts w:hint="eastAsia" w:ascii="仿宋_GB2312" w:hAnsi="仿宋_GB2312" w:eastAsia="仿宋_GB2312" w:cs="仿宋_GB2312"/>
          <w:sz w:val="32"/>
          <w:szCs w:val="32"/>
          <w:highlight w:val="none"/>
        </w:rPr>
        <w:t>固体废物利用率逐步提高，危险废物、重金属环境风险得到有效控制，环境安全有效保障。</w:t>
      </w:r>
    </w:p>
    <w:tbl>
      <w:tblPr>
        <w:tblStyle w:val="32"/>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725"/>
        <w:gridCol w:w="884"/>
        <w:gridCol w:w="2609"/>
        <w:gridCol w:w="1233"/>
        <w:gridCol w:w="1308"/>
        <w:gridCol w:w="1062"/>
      </w:tblGrid>
      <w:tr w14:paraId="6AA42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blHeader/>
          <w:jc w:val="center"/>
        </w:trPr>
        <w:tc>
          <w:tcPr>
            <w:tcW w:w="8524" w:type="dxa"/>
            <w:gridSpan w:val="7"/>
            <w:noWrap w:val="0"/>
            <w:vAlign w:val="center"/>
          </w:tcPr>
          <w:p w14:paraId="4934A873">
            <w:pPr>
              <w:pStyle w:val="46"/>
              <w:spacing w:before="139"/>
              <w:ind w:right="114"/>
              <w:jc w:val="center"/>
              <w:rPr>
                <w:rFonts w:hint="eastAsia"/>
                <w:highlight w:val="none"/>
              </w:rPr>
            </w:pPr>
            <w:r>
              <w:rPr>
                <w:rFonts w:hint="eastAsia"/>
                <w:highlight w:val="none"/>
                <w:lang w:val="en-US"/>
              </w:rPr>
              <w:t>专栏1</w:t>
            </w:r>
            <w:r>
              <w:rPr>
                <w:rFonts w:hint="eastAsia"/>
                <w:highlight w:val="none"/>
                <w:lang w:val="en-US" w:eastAsia="zh-CN"/>
              </w:rPr>
              <w:t xml:space="preserve"> </w:t>
            </w:r>
            <w:r>
              <w:rPr>
                <w:rFonts w:hint="eastAsia"/>
                <w:highlight w:val="none"/>
                <w:lang w:val="en-US"/>
              </w:rPr>
              <w:t>“十四五”生态环境保护规划主要指标目标</w:t>
            </w:r>
          </w:p>
        </w:tc>
      </w:tr>
      <w:tr w14:paraId="455EB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blHeader/>
          <w:jc w:val="center"/>
        </w:trPr>
        <w:tc>
          <w:tcPr>
            <w:tcW w:w="4921" w:type="dxa"/>
            <w:gridSpan w:val="4"/>
            <w:noWrap w:val="0"/>
            <w:vAlign w:val="center"/>
          </w:tcPr>
          <w:p w14:paraId="0FEB352B">
            <w:pPr>
              <w:pStyle w:val="46"/>
              <w:spacing w:before="146"/>
              <w:ind w:right="15"/>
              <w:jc w:val="center"/>
              <w:rPr>
                <w:rFonts w:hint="eastAsia"/>
                <w:highlight w:val="none"/>
              </w:rPr>
            </w:pPr>
            <w:r>
              <w:rPr>
                <w:rFonts w:hint="eastAsia"/>
                <w:highlight w:val="none"/>
                <w:lang w:val="en-US"/>
              </w:rPr>
              <w:t>指标</w:t>
            </w:r>
          </w:p>
        </w:tc>
        <w:tc>
          <w:tcPr>
            <w:tcW w:w="1233" w:type="dxa"/>
            <w:noWrap w:val="0"/>
            <w:vAlign w:val="center"/>
          </w:tcPr>
          <w:p w14:paraId="591CBFCB">
            <w:pPr>
              <w:pStyle w:val="46"/>
              <w:spacing w:line="367" w:lineRule="exact"/>
              <w:ind w:left="246"/>
              <w:jc w:val="both"/>
              <w:rPr>
                <w:rFonts w:hint="eastAsia"/>
                <w:highlight w:val="none"/>
                <w:lang w:val="en-US"/>
              </w:rPr>
            </w:pPr>
            <w:r>
              <w:rPr>
                <w:rFonts w:hint="eastAsia"/>
                <w:highlight w:val="none"/>
                <w:lang w:val="en-US"/>
              </w:rPr>
              <w:t>2020年</w:t>
            </w:r>
          </w:p>
          <w:p w14:paraId="6FC2F4AE">
            <w:pPr>
              <w:pStyle w:val="46"/>
              <w:spacing w:line="333" w:lineRule="exact"/>
              <w:ind w:left="274"/>
              <w:jc w:val="both"/>
              <w:rPr>
                <w:rFonts w:hint="eastAsia"/>
                <w:highlight w:val="none"/>
              </w:rPr>
            </w:pPr>
            <w:r>
              <w:rPr>
                <w:rFonts w:hint="eastAsia"/>
                <w:highlight w:val="none"/>
                <w:lang w:val="en-US"/>
              </w:rPr>
              <w:t>现状值</w:t>
            </w:r>
          </w:p>
        </w:tc>
        <w:tc>
          <w:tcPr>
            <w:tcW w:w="1308" w:type="dxa"/>
            <w:noWrap w:val="0"/>
            <w:vAlign w:val="center"/>
          </w:tcPr>
          <w:p w14:paraId="301A6D3C">
            <w:pPr>
              <w:pStyle w:val="46"/>
              <w:spacing w:line="367" w:lineRule="exact"/>
              <w:ind w:left="245"/>
              <w:jc w:val="both"/>
              <w:rPr>
                <w:rFonts w:hint="eastAsia"/>
                <w:highlight w:val="none"/>
                <w:lang w:val="en-US"/>
              </w:rPr>
            </w:pPr>
            <w:r>
              <w:rPr>
                <w:rFonts w:hint="eastAsia"/>
                <w:highlight w:val="none"/>
                <w:lang w:val="en-US"/>
              </w:rPr>
              <w:t>2025年</w:t>
            </w:r>
          </w:p>
          <w:p w14:paraId="130635DA">
            <w:pPr>
              <w:pStyle w:val="46"/>
              <w:spacing w:line="333" w:lineRule="exact"/>
              <w:ind w:left="274"/>
              <w:jc w:val="both"/>
              <w:rPr>
                <w:rFonts w:hint="eastAsia"/>
                <w:highlight w:val="none"/>
              </w:rPr>
            </w:pPr>
            <w:r>
              <w:rPr>
                <w:rFonts w:hint="eastAsia"/>
                <w:highlight w:val="none"/>
                <w:lang w:val="en-US"/>
              </w:rPr>
              <w:t>目标值</w:t>
            </w:r>
          </w:p>
        </w:tc>
        <w:tc>
          <w:tcPr>
            <w:tcW w:w="1062" w:type="dxa"/>
            <w:noWrap w:val="0"/>
            <w:vAlign w:val="center"/>
          </w:tcPr>
          <w:p w14:paraId="4A7F8AE4">
            <w:pPr>
              <w:pStyle w:val="46"/>
              <w:spacing w:before="146"/>
              <w:jc w:val="center"/>
              <w:rPr>
                <w:rFonts w:hint="eastAsia"/>
                <w:highlight w:val="none"/>
                <w:lang w:eastAsia="zh-CN"/>
              </w:rPr>
            </w:pPr>
            <w:r>
              <w:rPr>
                <w:rFonts w:hint="eastAsia"/>
                <w:highlight w:val="none"/>
                <w:lang w:val="en-US" w:eastAsia="zh-CN"/>
              </w:rPr>
              <w:t>属性</w:t>
            </w:r>
          </w:p>
        </w:tc>
      </w:tr>
      <w:tr w14:paraId="50D6C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jc w:val="center"/>
        </w:trPr>
        <w:tc>
          <w:tcPr>
            <w:tcW w:w="703" w:type="dxa"/>
            <w:noWrap w:val="0"/>
            <w:vAlign w:val="center"/>
          </w:tcPr>
          <w:p w14:paraId="52A7907B">
            <w:pPr>
              <w:pStyle w:val="46"/>
              <w:ind w:left="7"/>
              <w:jc w:val="center"/>
              <w:rPr>
                <w:highlight w:val="none"/>
              </w:rPr>
            </w:pPr>
            <w:r>
              <w:rPr>
                <w:highlight w:val="none"/>
              </w:rPr>
              <w:t>1</w:t>
            </w:r>
          </w:p>
        </w:tc>
        <w:tc>
          <w:tcPr>
            <w:tcW w:w="725" w:type="dxa"/>
            <w:vMerge w:val="restart"/>
            <w:noWrap w:val="0"/>
            <w:vAlign w:val="center"/>
          </w:tcPr>
          <w:p w14:paraId="5A7B4C11">
            <w:pPr>
              <w:pStyle w:val="46"/>
              <w:spacing w:line="280" w:lineRule="auto"/>
              <w:ind w:left="121" w:right="111"/>
              <w:jc w:val="center"/>
              <w:rPr>
                <w:rFonts w:hint="eastAsia"/>
                <w:highlight w:val="none"/>
                <w:lang w:val="en-US" w:eastAsia="zh-CN"/>
              </w:rPr>
            </w:pPr>
            <w:r>
              <w:rPr>
                <w:rFonts w:hint="eastAsia"/>
                <w:highlight w:val="none"/>
                <w:lang w:val="en-US" w:eastAsia="zh-CN"/>
              </w:rPr>
              <w:t>生态环境质量</w:t>
            </w:r>
          </w:p>
        </w:tc>
        <w:tc>
          <w:tcPr>
            <w:tcW w:w="884" w:type="dxa"/>
            <w:vMerge w:val="restart"/>
            <w:noWrap w:val="0"/>
            <w:vAlign w:val="center"/>
          </w:tcPr>
          <w:p w14:paraId="70A96CCC">
            <w:pPr>
              <w:pStyle w:val="46"/>
              <w:spacing w:line="280" w:lineRule="auto"/>
              <w:ind w:left="162" w:right="152"/>
              <w:jc w:val="center"/>
              <w:rPr>
                <w:rFonts w:hint="eastAsia"/>
                <w:highlight w:val="none"/>
                <w:lang w:val="en-US" w:eastAsia="zh-CN"/>
              </w:rPr>
            </w:pPr>
            <w:r>
              <w:rPr>
                <w:rFonts w:hint="eastAsia"/>
                <w:highlight w:val="none"/>
                <w:lang w:val="en-US" w:eastAsia="zh-CN"/>
              </w:rPr>
              <w:t>空气质量</w:t>
            </w:r>
          </w:p>
        </w:tc>
        <w:tc>
          <w:tcPr>
            <w:tcW w:w="2609" w:type="dxa"/>
            <w:noWrap w:val="0"/>
            <w:vAlign w:val="center"/>
          </w:tcPr>
          <w:p w14:paraId="18503BCA">
            <w:pPr>
              <w:pStyle w:val="46"/>
              <w:spacing w:before="129" w:line="280" w:lineRule="auto"/>
              <w:ind w:left="263" w:right="114" w:hanging="140"/>
              <w:jc w:val="left"/>
              <w:rPr>
                <w:rFonts w:hint="eastAsia"/>
                <w:highlight w:val="none"/>
                <w:lang w:val="en-US" w:eastAsia="zh-CN"/>
              </w:rPr>
            </w:pPr>
            <w:r>
              <w:rPr>
                <w:rFonts w:hint="eastAsia"/>
                <w:highlight w:val="none"/>
                <w:lang w:val="en-US" w:eastAsia="zh-CN"/>
              </w:rPr>
              <w:t>空气质量优良天数比率（%）</w:t>
            </w:r>
          </w:p>
        </w:tc>
        <w:tc>
          <w:tcPr>
            <w:tcW w:w="1233" w:type="dxa"/>
            <w:noWrap w:val="0"/>
            <w:vAlign w:val="center"/>
          </w:tcPr>
          <w:p w14:paraId="50ACFE8C">
            <w:pPr>
              <w:pStyle w:val="46"/>
              <w:jc w:val="center"/>
              <w:rPr>
                <w:rFonts w:hint="default"/>
                <w:highlight w:val="none"/>
                <w:lang w:val="en-US" w:eastAsia="zh-CN"/>
              </w:rPr>
            </w:pPr>
            <w:r>
              <w:rPr>
                <w:rFonts w:hint="eastAsia"/>
                <w:highlight w:val="none"/>
                <w:lang w:val="en-US" w:eastAsia="zh-CN"/>
              </w:rPr>
              <w:t>99.4</w:t>
            </w:r>
          </w:p>
        </w:tc>
        <w:tc>
          <w:tcPr>
            <w:tcW w:w="1308" w:type="dxa"/>
            <w:noWrap w:val="0"/>
            <w:vAlign w:val="center"/>
          </w:tcPr>
          <w:p w14:paraId="783CB016">
            <w:pPr>
              <w:pStyle w:val="46"/>
              <w:jc w:val="center"/>
              <w:rPr>
                <w:rFonts w:hint="eastAsia"/>
                <w:highlight w:val="none"/>
                <w:lang w:val="en-US" w:eastAsia="zh-CN"/>
              </w:rPr>
            </w:pPr>
            <w:r>
              <w:rPr>
                <w:rFonts w:hint="eastAsia"/>
                <w:highlight w:val="none"/>
                <w:lang w:val="en-US" w:eastAsia="zh-CN"/>
              </w:rPr>
              <w:t>完成上级目标任务</w:t>
            </w:r>
          </w:p>
        </w:tc>
        <w:tc>
          <w:tcPr>
            <w:tcW w:w="1062" w:type="dxa"/>
            <w:noWrap w:val="0"/>
            <w:vAlign w:val="center"/>
          </w:tcPr>
          <w:p w14:paraId="07D46FDF">
            <w:pPr>
              <w:pStyle w:val="46"/>
              <w:jc w:val="center"/>
              <w:rPr>
                <w:rFonts w:hint="default"/>
                <w:highlight w:val="none"/>
                <w:lang w:val="en-US" w:eastAsia="zh-CN"/>
              </w:rPr>
            </w:pPr>
            <w:r>
              <w:rPr>
                <w:rFonts w:hint="eastAsia"/>
                <w:highlight w:val="none"/>
                <w:lang w:val="en-US" w:eastAsia="zh-CN"/>
              </w:rPr>
              <w:t>约束性</w:t>
            </w:r>
          </w:p>
        </w:tc>
      </w:tr>
      <w:tr w14:paraId="2D5FF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703" w:type="dxa"/>
            <w:noWrap w:val="0"/>
            <w:vAlign w:val="center"/>
          </w:tcPr>
          <w:p w14:paraId="7198C43A">
            <w:pPr>
              <w:pStyle w:val="46"/>
              <w:ind w:left="7"/>
              <w:jc w:val="center"/>
              <w:rPr>
                <w:highlight w:val="none"/>
              </w:rPr>
            </w:pPr>
            <w:r>
              <w:rPr>
                <w:highlight w:val="none"/>
              </w:rPr>
              <w:t>2</w:t>
            </w:r>
          </w:p>
        </w:tc>
        <w:tc>
          <w:tcPr>
            <w:tcW w:w="725" w:type="dxa"/>
            <w:vMerge w:val="continue"/>
            <w:tcBorders>
              <w:top w:val="nil"/>
            </w:tcBorders>
            <w:noWrap w:val="0"/>
            <w:vAlign w:val="center"/>
          </w:tcPr>
          <w:p w14:paraId="30153D84">
            <w:pPr>
              <w:pStyle w:val="46"/>
              <w:jc w:val="center"/>
              <w:rPr>
                <w:rFonts w:hint="eastAsia"/>
                <w:highlight w:val="none"/>
                <w:lang w:val="en-US" w:eastAsia="zh-CN"/>
              </w:rPr>
            </w:pPr>
          </w:p>
        </w:tc>
        <w:tc>
          <w:tcPr>
            <w:tcW w:w="884" w:type="dxa"/>
            <w:vMerge w:val="continue"/>
            <w:noWrap w:val="0"/>
            <w:vAlign w:val="center"/>
          </w:tcPr>
          <w:p w14:paraId="328360D9">
            <w:pPr>
              <w:pStyle w:val="46"/>
              <w:jc w:val="center"/>
              <w:rPr>
                <w:rFonts w:hint="eastAsia"/>
                <w:highlight w:val="none"/>
                <w:lang w:val="en-US" w:eastAsia="zh-CN"/>
              </w:rPr>
            </w:pPr>
          </w:p>
        </w:tc>
        <w:tc>
          <w:tcPr>
            <w:tcW w:w="2609" w:type="dxa"/>
            <w:noWrap w:val="0"/>
            <w:vAlign w:val="center"/>
          </w:tcPr>
          <w:p w14:paraId="31BDC9EC">
            <w:pPr>
              <w:pStyle w:val="46"/>
              <w:spacing w:before="31" w:line="360" w:lineRule="atLeast"/>
              <w:ind w:left="263" w:right="114" w:hanging="140"/>
              <w:jc w:val="left"/>
              <w:rPr>
                <w:rFonts w:hint="eastAsia"/>
                <w:highlight w:val="none"/>
                <w:lang w:val="en-US" w:eastAsia="zh-CN"/>
              </w:rPr>
            </w:pPr>
            <w:r>
              <w:rPr>
                <w:rFonts w:hint="eastAsia"/>
                <w:highlight w:val="none"/>
                <w:lang w:val="en-US" w:eastAsia="zh-CN"/>
              </w:rPr>
              <w:t>细颗粒物（PM2.5）浓度（ug/m</w:t>
            </w:r>
            <w:r>
              <w:rPr>
                <w:rFonts w:hint="eastAsia"/>
                <w:highlight w:val="none"/>
                <w:vertAlign w:val="superscript"/>
                <w:lang w:val="en-US" w:eastAsia="zh-CN"/>
              </w:rPr>
              <w:t>3</w:t>
            </w:r>
            <w:r>
              <w:rPr>
                <w:rFonts w:hint="eastAsia"/>
                <w:highlight w:val="none"/>
                <w:lang w:val="en-US" w:eastAsia="zh-CN"/>
              </w:rPr>
              <w:t>）</w:t>
            </w:r>
          </w:p>
        </w:tc>
        <w:tc>
          <w:tcPr>
            <w:tcW w:w="1233" w:type="dxa"/>
            <w:noWrap w:val="0"/>
            <w:vAlign w:val="center"/>
          </w:tcPr>
          <w:p w14:paraId="5274926B">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79D416B6">
            <w:pPr>
              <w:pStyle w:val="46"/>
              <w:jc w:val="center"/>
              <w:rPr>
                <w:rFonts w:hint="eastAsia"/>
                <w:highlight w:val="none"/>
                <w:lang w:val="en-US" w:eastAsia="zh-CN"/>
              </w:rPr>
            </w:pPr>
            <w:r>
              <w:rPr>
                <w:rFonts w:hint="eastAsia"/>
                <w:highlight w:val="none"/>
                <w:lang w:val="en-US" w:eastAsia="zh-CN"/>
              </w:rPr>
              <w:t>完成上级目标任务</w:t>
            </w:r>
          </w:p>
        </w:tc>
        <w:tc>
          <w:tcPr>
            <w:tcW w:w="1062" w:type="dxa"/>
            <w:noWrap w:val="0"/>
            <w:vAlign w:val="center"/>
          </w:tcPr>
          <w:p w14:paraId="28043C03">
            <w:pPr>
              <w:pStyle w:val="46"/>
              <w:jc w:val="center"/>
              <w:rPr>
                <w:rFonts w:hint="default"/>
                <w:highlight w:val="none"/>
                <w:lang w:val="en-US" w:eastAsia="zh-CN"/>
              </w:rPr>
            </w:pPr>
            <w:r>
              <w:rPr>
                <w:rFonts w:hint="eastAsia"/>
                <w:highlight w:val="none"/>
                <w:lang w:val="en-US" w:eastAsia="zh-CN"/>
              </w:rPr>
              <w:t>约束性</w:t>
            </w:r>
          </w:p>
        </w:tc>
      </w:tr>
      <w:tr w14:paraId="380A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703" w:type="dxa"/>
            <w:noWrap w:val="0"/>
            <w:vAlign w:val="center"/>
          </w:tcPr>
          <w:p w14:paraId="370C7EE9">
            <w:pPr>
              <w:pStyle w:val="46"/>
              <w:ind w:left="7"/>
              <w:jc w:val="center"/>
              <w:rPr>
                <w:rFonts w:hint="eastAsia" w:eastAsiaTheme="minorEastAsia"/>
                <w:highlight w:val="none"/>
                <w:lang w:val="en-US" w:eastAsia="zh-CN"/>
              </w:rPr>
            </w:pPr>
            <w:r>
              <w:rPr>
                <w:rFonts w:hint="eastAsia"/>
                <w:highlight w:val="none"/>
                <w:lang w:val="en-US" w:eastAsia="zh-CN"/>
              </w:rPr>
              <w:t>3</w:t>
            </w:r>
          </w:p>
        </w:tc>
        <w:tc>
          <w:tcPr>
            <w:tcW w:w="725" w:type="dxa"/>
            <w:vMerge w:val="continue"/>
            <w:tcBorders>
              <w:top w:val="nil"/>
            </w:tcBorders>
            <w:noWrap w:val="0"/>
            <w:vAlign w:val="center"/>
          </w:tcPr>
          <w:p w14:paraId="439202D3">
            <w:pPr>
              <w:pStyle w:val="46"/>
              <w:jc w:val="center"/>
              <w:rPr>
                <w:rFonts w:hint="eastAsia"/>
                <w:highlight w:val="none"/>
                <w:lang w:val="en-US" w:eastAsia="zh-CN"/>
              </w:rPr>
            </w:pPr>
          </w:p>
        </w:tc>
        <w:tc>
          <w:tcPr>
            <w:tcW w:w="884" w:type="dxa"/>
            <w:vMerge w:val="continue"/>
            <w:noWrap w:val="0"/>
            <w:vAlign w:val="center"/>
          </w:tcPr>
          <w:p w14:paraId="7A64C985">
            <w:pPr>
              <w:pStyle w:val="46"/>
              <w:jc w:val="center"/>
              <w:rPr>
                <w:rFonts w:hint="eastAsia"/>
                <w:highlight w:val="none"/>
                <w:lang w:val="en-US" w:eastAsia="zh-CN"/>
              </w:rPr>
            </w:pPr>
          </w:p>
        </w:tc>
        <w:tc>
          <w:tcPr>
            <w:tcW w:w="2609" w:type="dxa"/>
            <w:noWrap w:val="0"/>
            <w:vAlign w:val="center"/>
          </w:tcPr>
          <w:p w14:paraId="03B358CB">
            <w:pPr>
              <w:pStyle w:val="46"/>
              <w:spacing w:before="31" w:line="360" w:lineRule="atLeast"/>
              <w:ind w:left="263" w:right="114" w:hanging="140"/>
              <w:jc w:val="left"/>
              <w:rPr>
                <w:rFonts w:hint="default"/>
                <w:highlight w:val="none"/>
                <w:lang w:val="en-US" w:eastAsia="zh-CN"/>
              </w:rPr>
            </w:pPr>
            <w:r>
              <w:rPr>
                <w:rFonts w:hint="eastAsia"/>
                <w:highlight w:val="none"/>
                <w:lang w:val="en-US" w:eastAsia="zh-CN"/>
              </w:rPr>
              <w:t>重污染天气比率（%）</w:t>
            </w:r>
          </w:p>
        </w:tc>
        <w:tc>
          <w:tcPr>
            <w:tcW w:w="1233" w:type="dxa"/>
            <w:noWrap w:val="0"/>
            <w:vAlign w:val="center"/>
          </w:tcPr>
          <w:p w14:paraId="30B87293">
            <w:pPr>
              <w:pStyle w:val="46"/>
              <w:jc w:val="center"/>
              <w:rPr>
                <w:rFonts w:hint="default"/>
                <w:highlight w:val="none"/>
                <w:lang w:val="en-US" w:eastAsia="zh-CN"/>
              </w:rPr>
            </w:pPr>
            <w:r>
              <w:rPr>
                <w:rFonts w:hint="eastAsia"/>
                <w:highlight w:val="none"/>
                <w:lang w:val="en-US" w:eastAsia="zh-CN"/>
              </w:rPr>
              <w:t>0</w:t>
            </w:r>
          </w:p>
        </w:tc>
        <w:tc>
          <w:tcPr>
            <w:tcW w:w="1308" w:type="dxa"/>
            <w:noWrap w:val="0"/>
            <w:vAlign w:val="center"/>
          </w:tcPr>
          <w:p w14:paraId="141010CF">
            <w:pPr>
              <w:pStyle w:val="46"/>
              <w:jc w:val="center"/>
              <w:rPr>
                <w:rFonts w:hint="default"/>
                <w:highlight w:val="none"/>
                <w:lang w:val="en-US" w:eastAsia="zh-CN"/>
              </w:rPr>
            </w:pPr>
            <w:r>
              <w:rPr>
                <w:rFonts w:hint="eastAsia"/>
                <w:highlight w:val="none"/>
                <w:lang w:val="en-US" w:eastAsia="zh-CN"/>
              </w:rPr>
              <w:t>0</w:t>
            </w:r>
          </w:p>
        </w:tc>
        <w:tc>
          <w:tcPr>
            <w:tcW w:w="1062" w:type="dxa"/>
            <w:noWrap w:val="0"/>
            <w:vAlign w:val="center"/>
          </w:tcPr>
          <w:p w14:paraId="39EBF04A">
            <w:pPr>
              <w:pStyle w:val="46"/>
              <w:jc w:val="center"/>
              <w:rPr>
                <w:rFonts w:hint="default"/>
                <w:highlight w:val="none"/>
                <w:lang w:val="en-US" w:eastAsia="zh-CN"/>
              </w:rPr>
            </w:pPr>
            <w:r>
              <w:rPr>
                <w:rFonts w:hint="eastAsia"/>
                <w:highlight w:val="none"/>
                <w:lang w:val="en-US" w:eastAsia="zh-CN"/>
              </w:rPr>
              <w:t>约束性</w:t>
            </w:r>
          </w:p>
        </w:tc>
      </w:tr>
      <w:tr w14:paraId="7B4AA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jc w:val="center"/>
        </w:trPr>
        <w:tc>
          <w:tcPr>
            <w:tcW w:w="703" w:type="dxa"/>
            <w:noWrap w:val="0"/>
            <w:vAlign w:val="center"/>
          </w:tcPr>
          <w:p w14:paraId="4C18A14B">
            <w:pPr>
              <w:pStyle w:val="46"/>
              <w:ind w:left="7"/>
              <w:jc w:val="center"/>
              <w:rPr>
                <w:rFonts w:hint="eastAsia" w:eastAsiaTheme="minorEastAsia"/>
                <w:highlight w:val="none"/>
                <w:lang w:eastAsia="zh-CN"/>
              </w:rPr>
            </w:pPr>
            <w:r>
              <w:rPr>
                <w:rFonts w:hint="eastAsia"/>
                <w:highlight w:val="none"/>
                <w:lang w:val="en-US" w:eastAsia="zh-CN"/>
              </w:rPr>
              <w:t>4</w:t>
            </w:r>
          </w:p>
        </w:tc>
        <w:tc>
          <w:tcPr>
            <w:tcW w:w="725" w:type="dxa"/>
            <w:vMerge w:val="continue"/>
            <w:tcBorders>
              <w:top w:val="nil"/>
            </w:tcBorders>
            <w:noWrap w:val="0"/>
            <w:vAlign w:val="center"/>
          </w:tcPr>
          <w:p w14:paraId="2C180AE3">
            <w:pPr>
              <w:pStyle w:val="46"/>
              <w:jc w:val="center"/>
              <w:rPr>
                <w:rFonts w:hint="eastAsia"/>
                <w:highlight w:val="none"/>
                <w:lang w:val="en-US" w:eastAsia="zh-CN"/>
              </w:rPr>
            </w:pPr>
          </w:p>
        </w:tc>
        <w:tc>
          <w:tcPr>
            <w:tcW w:w="884" w:type="dxa"/>
            <w:vMerge w:val="restart"/>
            <w:noWrap w:val="0"/>
            <w:vAlign w:val="center"/>
          </w:tcPr>
          <w:p w14:paraId="58B7717D">
            <w:pPr>
              <w:pStyle w:val="46"/>
              <w:spacing w:line="280" w:lineRule="auto"/>
              <w:ind w:left="162" w:right="152"/>
              <w:jc w:val="center"/>
              <w:rPr>
                <w:rFonts w:hint="eastAsia"/>
                <w:highlight w:val="none"/>
                <w:lang w:val="en-US" w:eastAsia="zh-CN"/>
              </w:rPr>
            </w:pPr>
            <w:r>
              <w:rPr>
                <w:rFonts w:hint="eastAsia"/>
                <w:highlight w:val="none"/>
                <w:lang w:val="en-US" w:eastAsia="zh-CN"/>
              </w:rPr>
              <w:t>水生态环境</w:t>
            </w:r>
          </w:p>
        </w:tc>
        <w:tc>
          <w:tcPr>
            <w:tcW w:w="2609" w:type="dxa"/>
            <w:noWrap w:val="0"/>
            <w:vAlign w:val="center"/>
          </w:tcPr>
          <w:p w14:paraId="0C2495B5">
            <w:pPr>
              <w:pStyle w:val="46"/>
              <w:spacing w:before="47" w:line="280" w:lineRule="auto"/>
              <w:ind w:left="123" w:right="114"/>
              <w:jc w:val="left"/>
              <w:rPr>
                <w:rFonts w:hint="eastAsia"/>
                <w:highlight w:val="none"/>
                <w:lang w:val="en-US" w:eastAsia="zh-CN"/>
              </w:rPr>
            </w:pPr>
            <w:r>
              <w:rPr>
                <w:rFonts w:hint="eastAsia"/>
                <w:highlight w:val="none"/>
                <w:lang w:val="en-US" w:eastAsia="zh-CN"/>
              </w:rPr>
              <w:t>地表水考核断面水质好于Ⅲ类水体比例（%）</w:t>
            </w:r>
          </w:p>
        </w:tc>
        <w:tc>
          <w:tcPr>
            <w:tcW w:w="1233" w:type="dxa"/>
            <w:noWrap w:val="0"/>
            <w:vAlign w:val="center"/>
          </w:tcPr>
          <w:p w14:paraId="7F0BB8D9">
            <w:pPr>
              <w:pStyle w:val="46"/>
              <w:jc w:val="center"/>
              <w:rPr>
                <w:rFonts w:hint="eastAsia"/>
                <w:highlight w:val="none"/>
                <w:lang w:val="en-US" w:eastAsia="zh-CN"/>
              </w:rPr>
            </w:pPr>
            <w:r>
              <w:rPr>
                <w:rFonts w:hint="eastAsia"/>
                <w:highlight w:val="none"/>
                <w:lang w:val="en-US" w:eastAsia="zh-CN"/>
              </w:rPr>
              <w:t>/</w:t>
            </w:r>
          </w:p>
        </w:tc>
        <w:tc>
          <w:tcPr>
            <w:tcW w:w="1308" w:type="dxa"/>
            <w:noWrap w:val="0"/>
            <w:vAlign w:val="center"/>
          </w:tcPr>
          <w:p w14:paraId="26D4B7BA">
            <w:pPr>
              <w:pStyle w:val="46"/>
              <w:jc w:val="center"/>
              <w:rPr>
                <w:rFonts w:hint="eastAsia"/>
                <w:highlight w:val="none"/>
                <w:lang w:val="en-US" w:eastAsia="zh-CN"/>
              </w:rPr>
            </w:pPr>
            <w:r>
              <w:rPr>
                <w:rFonts w:hint="eastAsia"/>
                <w:highlight w:val="none"/>
                <w:lang w:val="en-US" w:eastAsia="zh-CN"/>
              </w:rPr>
              <w:t>完成上级目标任务</w:t>
            </w:r>
          </w:p>
        </w:tc>
        <w:tc>
          <w:tcPr>
            <w:tcW w:w="1062" w:type="dxa"/>
            <w:noWrap w:val="0"/>
            <w:vAlign w:val="center"/>
          </w:tcPr>
          <w:p w14:paraId="54CE808C">
            <w:pPr>
              <w:pStyle w:val="46"/>
              <w:jc w:val="center"/>
              <w:rPr>
                <w:rFonts w:hint="default"/>
                <w:highlight w:val="none"/>
                <w:lang w:val="en-US" w:eastAsia="zh-CN"/>
              </w:rPr>
            </w:pPr>
            <w:r>
              <w:rPr>
                <w:rFonts w:hint="eastAsia"/>
                <w:highlight w:val="none"/>
                <w:lang w:val="en-US" w:eastAsia="zh-CN"/>
              </w:rPr>
              <w:t>约束性</w:t>
            </w:r>
          </w:p>
        </w:tc>
      </w:tr>
      <w:tr w14:paraId="1E8D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jc w:val="center"/>
        </w:trPr>
        <w:tc>
          <w:tcPr>
            <w:tcW w:w="703" w:type="dxa"/>
            <w:noWrap w:val="0"/>
            <w:vAlign w:val="center"/>
          </w:tcPr>
          <w:p w14:paraId="12AC854D">
            <w:pPr>
              <w:pStyle w:val="46"/>
              <w:spacing w:before="1"/>
              <w:ind w:left="7"/>
              <w:jc w:val="center"/>
              <w:rPr>
                <w:rFonts w:hint="eastAsia" w:eastAsiaTheme="minorEastAsia"/>
                <w:highlight w:val="none"/>
                <w:lang w:eastAsia="zh-CN"/>
              </w:rPr>
            </w:pPr>
            <w:r>
              <w:rPr>
                <w:rFonts w:hint="eastAsia"/>
                <w:highlight w:val="none"/>
                <w:lang w:val="en-US" w:eastAsia="zh-CN"/>
              </w:rPr>
              <w:t>5</w:t>
            </w:r>
          </w:p>
        </w:tc>
        <w:tc>
          <w:tcPr>
            <w:tcW w:w="725" w:type="dxa"/>
            <w:vMerge w:val="continue"/>
            <w:tcBorders>
              <w:top w:val="nil"/>
            </w:tcBorders>
            <w:noWrap w:val="0"/>
            <w:vAlign w:val="center"/>
          </w:tcPr>
          <w:p w14:paraId="44806A8D">
            <w:pPr>
              <w:pStyle w:val="46"/>
              <w:jc w:val="center"/>
              <w:rPr>
                <w:rFonts w:hint="eastAsia"/>
                <w:highlight w:val="none"/>
                <w:lang w:val="en-US" w:eastAsia="zh-CN"/>
              </w:rPr>
            </w:pPr>
          </w:p>
        </w:tc>
        <w:tc>
          <w:tcPr>
            <w:tcW w:w="884" w:type="dxa"/>
            <w:vMerge w:val="continue"/>
            <w:tcBorders>
              <w:top w:val="nil"/>
            </w:tcBorders>
            <w:noWrap w:val="0"/>
            <w:vAlign w:val="center"/>
          </w:tcPr>
          <w:p w14:paraId="13FDEB9A">
            <w:pPr>
              <w:pStyle w:val="46"/>
              <w:jc w:val="center"/>
              <w:rPr>
                <w:rFonts w:hint="eastAsia"/>
                <w:highlight w:val="none"/>
                <w:lang w:val="en-US" w:eastAsia="zh-CN"/>
              </w:rPr>
            </w:pPr>
          </w:p>
        </w:tc>
        <w:tc>
          <w:tcPr>
            <w:tcW w:w="2609" w:type="dxa"/>
            <w:noWrap w:val="0"/>
            <w:vAlign w:val="center"/>
          </w:tcPr>
          <w:p w14:paraId="352451D8">
            <w:pPr>
              <w:pStyle w:val="46"/>
              <w:spacing w:before="130" w:line="280" w:lineRule="auto"/>
              <w:ind w:left="106" w:right="-29" w:firstLine="16"/>
              <w:jc w:val="center"/>
              <w:rPr>
                <w:rFonts w:hint="eastAsia"/>
                <w:highlight w:val="none"/>
                <w:lang w:val="en-US" w:eastAsia="zh-CN"/>
              </w:rPr>
            </w:pPr>
            <w:r>
              <w:rPr>
                <w:rFonts w:hint="eastAsia"/>
                <w:highlight w:val="none"/>
                <w:lang w:val="en-US" w:eastAsia="zh-CN"/>
              </w:rPr>
              <w:t>地表水考核断面水质劣Ⅴ类水体比例（%）</w:t>
            </w:r>
          </w:p>
        </w:tc>
        <w:tc>
          <w:tcPr>
            <w:tcW w:w="1233" w:type="dxa"/>
            <w:noWrap w:val="0"/>
            <w:vAlign w:val="center"/>
          </w:tcPr>
          <w:p w14:paraId="597AFDEF">
            <w:pPr>
              <w:pStyle w:val="46"/>
              <w:jc w:val="center"/>
              <w:rPr>
                <w:rFonts w:hint="eastAsia"/>
                <w:highlight w:val="none"/>
                <w:lang w:val="en-US" w:eastAsia="zh-CN"/>
              </w:rPr>
            </w:pPr>
            <w:r>
              <w:rPr>
                <w:rFonts w:hint="eastAsia"/>
                <w:highlight w:val="none"/>
                <w:lang w:val="en-US" w:eastAsia="zh-CN"/>
              </w:rPr>
              <w:t>/</w:t>
            </w:r>
          </w:p>
        </w:tc>
        <w:tc>
          <w:tcPr>
            <w:tcW w:w="1308" w:type="dxa"/>
            <w:noWrap w:val="0"/>
            <w:vAlign w:val="center"/>
          </w:tcPr>
          <w:p w14:paraId="0F603EF6">
            <w:pPr>
              <w:pStyle w:val="46"/>
              <w:jc w:val="center"/>
              <w:rPr>
                <w:rFonts w:hint="eastAsia"/>
                <w:highlight w:val="none"/>
                <w:lang w:val="en-US" w:eastAsia="zh-CN"/>
              </w:rPr>
            </w:pPr>
            <w:r>
              <w:rPr>
                <w:rFonts w:hint="eastAsia"/>
                <w:highlight w:val="none"/>
                <w:lang w:val="en-US" w:eastAsia="zh-CN"/>
              </w:rPr>
              <w:t>完成上级目标任务</w:t>
            </w:r>
          </w:p>
        </w:tc>
        <w:tc>
          <w:tcPr>
            <w:tcW w:w="1062" w:type="dxa"/>
            <w:noWrap w:val="0"/>
            <w:vAlign w:val="center"/>
          </w:tcPr>
          <w:p w14:paraId="44665365">
            <w:pPr>
              <w:pStyle w:val="46"/>
              <w:jc w:val="center"/>
              <w:rPr>
                <w:rFonts w:hint="default"/>
                <w:highlight w:val="none"/>
                <w:lang w:val="en-US" w:eastAsia="zh-CN"/>
              </w:rPr>
            </w:pPr>
            <w:r>
              <w:rPr>
                <w:rFonts w:hint="eastAsia"/>
                <w:highlight w:val="none"/>
                <w:lang w:val="en-US" w:eastAsia="zh-CN"/>
              </w:rPr>
              <w:t>约束性</w:t>
            </w:r>
          </w:p>
        </w:tc>
      </w:tr>
      <w:tr w14:paraId="3F30E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jc w:val="center"/>
        </w:trPr>
        <w:tc>
          <w:tcPr>
            <w:tcW w:w="703" w:type="dxa"/>
            <w:noWrap w:val="0"/>
            <w:vAlign w:val="center"/>
          </w:tcPr>
          <w:p w14:paraId="2905A3F5">
            <w:pPr>
              <w:pStyle w:val="46"/>
              <w:ind w:left="7"/>
              <w:jc w:val="center"/>
              <w:rPr>
                <w:rFonts w:hint="eastAsia" w:eastAsiaTheme="minorEastAsia"/>
                <w:highlight w:val="none"/>
                <w:lang w:eastAsia="zh-CN"/>
              </w:rPr>
            </w:pPr>
            <w:r>
              <w:rPr>
                <w:rFonts w:hint="eastAsia"/>
                <w:highlight w:val="none"/>
                <w:lang w:val="en-US" w:eastAsia="zh-CN"/>
              </w:rPr>
              <w:t>6</w:t>
            </w:r>
          </w:p>
        </w:tc>
        <w:tc>
          <w:tcPr>
            <w:tcW w:w="725" w:type="dxa"/>
            <w:vMerge w:val="continue"/>
            <w:tcBorders>
              <w:top w:val="nil"/>
            </w:tcBorders>
            <w:noWrap w:val="0"/>
            <w:vAlign w:val="center"/>
          </w:tcPr>
          <w:p w14:paraId="5E02D112">
            <w:pPr>
              <w:pStyle w:val="46"/>
              <w:jc w:val="center"/>
              <w:rPr>
                <w:rFonts w:hint="eastAsia"/>
                <w:highlight w:val="none"/>
              </w:rPr>
            </w:pPr>
          </w:p>
        </w:tc>
        <w:tc>
          <w:tcPr>
            <w:tcW w:w="884" w:type="dxa"/>
            <w:vMerge w:val="continue"/>
            <w:tcBorders>
              <w:top w:val="nil"/>
            </w:tcBorders>
            <w:noWrap w:val="0"/>
            <w:vAlign w:val="center"/>
          </w:tcPr>
          <w:p w14:paraId="711374F9">
            <w:pPr>
              <w:pStyle w:val="46"/>
              <w:jc w:val="center"/>
              <w:rPr>
                <w:rFonts w:hint="eastAsia"/>
                <w:highlight w:val="none"/>
              </w:rPr>
            </w:pPr>
          </w:p>
        </w:tc>
        <w:tc>
          <w:tcPr>
            <w:tcW w:w="2609" w:type="dxa"/>
            <w:noWrap w:val="0"/>
            <w:vAlign w:val="center"/>
          </w:tcPr>
          <w:p w14:paraId="7336DFD1">
            <w:pPr>
              <w:pStyle w:val="46"/>
              <w:spacing w:before="129"/>
              <w:ind w:left="121" w:right="114"/>
              <w:jc w:val="left"/>
              <w:rPr>
                <w:rFonts w:hint="eastAsia"/>
                <w:highlight w:val="none"/>
                <w:lang w:val="en-US"/>
              </w:rPr>
            </w:pPr>
            <w:r>
              <w:rPr>
                <w:rFonts w:hint="eastAsia"/>
                <w:highlight w:val="none"/>
                <w:lang w:val="en-US" w:eastAsia="zh-CN"/>
              </w:rPr>
              <w:t>区内</w:t>
            </w:r>
            <w:r>
              <w:rPr>
                <w:rFonts w:hint="eastAsia"/>
                <w:highlight w:val="none"/>
                <w:lang w:val="en-US"/>
              </w:rPr>
              <w:t>黑臭水体比例（%）</w:t>
            </w:r>
          </w:p>
        </w:tc>
        <w:tc>
          <w:tcPr>
            <w:tcW w:w="1233" w:type="dxa"/>
            <w:noWrap w:val="0"/>
            <w:vAlign w:val="center"/>
          </w:tcPr>
          <w:p w14:paraId="7202EA9B">
            <w:pPr>
              <w:pStyle w:val="46"/>
              <w:ind w:left="103" w:right="101"/>
              <w:jc w:val="center"/>
              <w:rPr>
                <w:rFonts w:hint="eastAsia" w:eastAsiaTheme="minorEastAsia"/>
                <w:highlight w:val="none"/>
                <w:lang w:eastAsia="zh-CN"/>
              </w:rPr>
            </w:pPr>
            <w:r>
              <w:rPr>
                <w:rFonts w:hint="eastAsia"/>
                <w:highlight w:val="none"/>
                <w:lang w:val="en-US" w:eastAsia="zh-CN"/>
              </w:rPr>
              <w:t>0</w:t>
            </w:r>
          </w:p>
        </w:tc>
        <w:tc>
          <w:tcPr>
            <w:tcW w:w="1308" w:type="dxa"/>
            <w:noWrap w:val="0"/>
            <w:vAlign w:val="center"/>
          </w:tcPr>
          <w:p w14:paraId="07E32B2F">
            <w:pPr>
              <w:pStyle w:val="46"/>
              <w:jc w:val="center"/>
              <w:rPr>
                <w:highlight w:val="none"/>
              </w:rPr>
            </w:pPr>
            <w:r>
              <w:rPr>
                <w:rFonts w:hint="eastAsia"/>
                <w:highlight w:val="none"/>
                <w:lang w:val="en-US" w:eastAsia="zh-CN"/>
              </w:rPr>
              <w:t>0</w:t>
            </w:r>
          </w:p>
        </w:tc>
        <w:tc>
          <w:tcPr>
            <w:tcW w:w="1062" w:type="dxa"/>
            <w:noWrap w:val="0"/>
            <w:vAlign w:val="center"/>
          </w:tcPr>
          <w:p w14:paraId="22DD994C">
            <w:pPr>
              <w:pStyle w:val="46"/>
              <w:jc w:val="center"/>
              <w:rPr>
                <w:rFonts w:hint="eastAsia" w:eastAsiaTheme="minorEastAsia"/>
                <w:highlight w:val="none"/>
                <w:lang w:val="en-US" w:eastAsia="zh-CN"/>
              </w:rPr>
            </w:pPr>
            <w:r>
              <w:rPr>
                <w:rFonts w:hint="eastAsia"/>
                <w:highlight w:val="none"/>
                <w:lang w:val="en-US" w:eastAsia="zh-CN"/>
              </w:rPr>
              <w:t>预期性</w:t>
            </w:r>
          </w:p>
        </w:tc>
      </w:tr>
      <w:tr w14:paraId="09559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703" w:type="dxa"/>
            <w:noWrap w:val="0"/>
            <w:vAlign w:val="center"/>
          </w:tcPr>
          <w:p w14:paraId="4ECD6277">
            <w:pPr>
              <w:pStyle w:val="46"/>
              <w:ind w:left="7"/>
              <w:jc w:val="center"/>
              <w:rPr>
                <w:rFonts w:hint="eastAsia" w:eastAsiaTheme="minorEastAsia"/>
                <w:highlight w:val="none"/>
                <w:lang w:eastAsia="zh-CN"/>
              </w:rPr>
            </w:pPr>
            <w:r>
              <w:rPr>
                <w:rFonts w:hint="eastAsia"/>
                <w:highlight w:val="none"/>
                <w:lang w:val="en-US" w:eastAsia="zh-CN"/>
              </w:rPr>
              <w:t>7</w:t>
            </w:r>
          </w:p>
        </w:tc>
        <w:tc>
          <w:tcPr>
            <w:tcW w:w="725" w:type="dxa"/>
            <w:vMerge w:val="restart"/>
            <w:noWrap w:val="0"/>
            <w:vAlign w:val="center"/>
          </w:tcPr>
          <w:p w14:paraId="3ED83ADB">
            <w:pPr>
              <w:pStyle w:val="46"/>
              <w:spacing w:line="280" w:lineRule="auto"/>
              <w:ind w:left="121" w:right="111"/>
              <w:jc w:val="center"/>
              <w:rPr>
                <w:rFonts w:hint="eastAsia"/>
                <w:highlight w:val="none"/>
                <w:lang w:val="en-US"/>
              </w:rPr>
            </w:pPr>
            <w:r>
              <w:rPr>
                <w:rFonts w:hint="eastAsia"/>
                <w:highlight w:val="none"/>
                <w:lang w:val="en-US"/>
              </w:rPr>
              <w:t>绿色化发展</w:t>
            </w:r>
          </w:p>
        </w:tc>
        <w:tc>
          <w:tcPr>
            <w:tcW w:w="884" w:type="dxa"/>
            <w:vMerge w:val="restart"/>
            <w:noWrap w:val="0"/>
            <w:vAlign w:val="center"/>
          </w:tcPr>
          <w:p w14:paraId="25604812">
            <w:pPr>
              <w:pStyle w:val="46"/>
              <w:spacing w:line="280" w:lineRule="auto"/>
              <w:ind w:left="162" w:right="152"/>
              <w:jc w:val="center"/>
              <w:rPr>
                <w:rFonts w:hint="eastAsia"/>
                <w:highlight w:val="none"/>
                <w:lang w:val="en-US" w:eastAsia="zh-CN"/>
              </w:rPr>
            </w:pPr>
            <w:r>
              <w:rPr>
                <w:rFonts w:hint="eastAsia"/>
                <w:highlight w:val="none"/>
                <w:lang w:val="en-US" w:eastAsia="zh-CN"/>
              </w:rPr>
              <w:t>应对气候变化</w:t>
            </w:r>
          </w:p>
        </w:tc>
        <w:tc>
          <w:tcPr>
            <w:tcW w:w="2609" w:type="dxa"/>
            <w:noWrap w:val="0"/>
            <w:vAlign w:val="center"/>
          </w:tcPr>
          <w:p w14:paraId="2DDC2FDF">
            <w:pPr>
              <w:pStyle w:val="46"/>
              <w:spacing w:before="144" w:line="280" w:lineRule="auto"/>
              <w:ind w:left="106" w:right="-29" w:firstLine="16"/>
              <w:jc w:val="left"/>
              <w:rPr>
                <w:rFonts w:hint="eastAsia"/>
                <w:highlight w:val="none"/>
                <w:lang w:val="en-US"/>
              </w:rPr>
            </w:pPr>
            <w:r>
              <w:rPr>
                <w:rFonts w:hint="eastAsia"/>
                <w:highlight w:val="none"/>
                <w:lang w:val="en-US"/>
              </w:rPr>
              <w:t>单位国内生产总值二氧化碳排放降低（%）</w:t>
            </w:r>
          </w:p>
        </w:tc>
        <w:tc>
          <w:tcPr>
            <w:tcW w:w="1233" w:type="dxa"/>
            <w:noWrap w:val="0"/>
            <w:vAlign w:val="center"/>
          </w:tcPr>
          <w:p w14:paraId="4F9D65E9">
            <w:pPr>
              <w:pStyle w:val="46"/>
              <w:ind w:left="106" w:right="99"/>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4C072618">
            <w:pPr>
              <w:pStyle w:val="46"/>
              <w:jc w:val="center"/>
              <w:rPr>
                <w:highlight w:val="none"/>
              </w:rPr>
            </w:pPr>
            <w:r>
              <w:rPr>
                <w:rFonts w:hint="eastAsia"/>
                <w:highlight w:val="none"/>
                <w:lang w:val="en-US"/>
              </w:rPr>
              <w:t>完成上级目标任务</w:t>
            </w:r>
          </w:p>
        </w:tc>
        <w:tc>
          <w:tcPr>
            <w:tcW w:w="1062" w:type="dxa"/>
            <w:noWrap w:val="0"/>
            <w:vAlign w:val="center"/>
          </w:tcPr>
          <w:p w14:paraId="036337A2">
            <w:pPr>
              <w:pStyle w:val="46"/>
              <w:jc w:val="center"/>
              <w:rPr>
                <w:rFonts w:hint="eastAsia" w:eastAsiaTheme="minorEastAsia"/>
                <w:highlight w:val="none"/>
                <w:lang w:val="en-US" w:eastAsia="zh-CN"/>
              </w:rPr>
            </w:pPr>
            <w:r>
              <w:rPr>
                <w:rFonts w:hint="eastAsia"/>
                <w:highlight w:val="none"/>
                <w:lang w:val="en-US" w:eastAsia="zh-CN"/>
              </w:rPr>
              <w:t>约束性</w:t>
            </w:r>
          </w:p>
        </w:tc>
      </w:tr>
      <w:tr w14:paraId="7BB8B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noWrap w:val="0"/>
            <w:vAlign w:val="center"/>
          </w:tcPr>
          <w:p w14:paraId="76957FCE">
            <w:pPr>
              <w:pStyle w:val="46"/>
              <w:ind w:left="7"/>
              <w:jc w:val="center"/>
              <w:rPr>
                <w:rFonts w:hint="eastAsia" w:eastAsiaTheme="minorEastAsia"/>
                <w:highlight w:val="none"/>
                <w:lang w:eastAsia="zh-CN"/>
              </w:rPr>
            </w:pPr>
            <w:r>
              <w:rPr>
                <w:rFonts w:hint="eastAsia"/>
                <w:highlight w:val="none"/>
                <w:lang w:val="en-US" w:eastAsia="zh-CN"/>
              </w:rPr>
              <w:t>8</w:t>
            </w:r>
          </w:p>
        </w:tc>
        <w:tc>
          <w:tcPr>
            <w:tcW w:w="725" w:type="dxa"/>
            <w:vMerge w:val="continue"/>
            <w:noWrap w:val="0"/>
            <w:vAlign w:val="center"/>
          </w:tcPr>
          <w:p w14:paraId="4BA0C201">
            <w:pPr>
              <w:pStyle w:val="46"/>
              <w:jc w:val="center"/>
              <w:rPr>
                <w:rFonts w:hint="eastAsia"/>
                <w:highlight w:val="none"/>
              </w:rPr>
            </w:pPr>
          </w:p>
        </w:tc>
        <w:tc>
          <w:tcPr>
            <w:tcW w:w="884" w:type="dxa"/>
            <w:vMerge w:val="continue"/>
            <w:noWrap w:val="0"/>
            <w:vAlign w:val="center"/>
          </w:tcPr>
          <w:p w14:paraId="3F6DF997">
            <w:pPr>
              <w:pStyle w:val="46"/>
              <w:spacing w:line="280" w:lineRule="auto"/>
              <w:ind w:left="162" w:right="152"/>
              <w:jc w:val="center"/>
              <w:rPr>
                <w:rFonts w:hint="eastAsia"/>
                <w:highlight w:val="none"/>
                <w:lang w:val="en-US" w:eastAsia="zh-CN"/>
              </w:rPr>
            </w:pPr>
          </w:p>
        </w:tc>
        <w:tc>
          <w:tcPr>
            <w:tcW w:w="2609" w:type="dxa"/>
            <w:noWrap w:val="0"/>
            <w:vAlign w:val="center"/>
          </w:tcPr>
          <w:p w14:paraId="42AD3ED0">
            <w:pPr>
              <w:pStyle w:val="46"/>
              <w:spacing w:before="144" w:line="280" w:lineRule="auto"/>
              <w:ind w:left="263" w:right="114" w:hanging="140"/>
              <w:jc w:val="both"/>
              <w:rPr>
                <w:rFonts w:hint="eastAsia"/>
                <w:highlight w:val="none"/>
                <w:lang w:val="en-US"/>
              </w:rPr>
            </w:pPr>
            <w:r>
              <w:rPr>
                <w:rFonts w:hint="eastAsia"/>
                <w:highlight w:val="none"/>
                <w:lang w:val="en-US"/>
              </w:rPr>
              <w:t>单位国内生产总值</w:t>
            </w:r>
            <w:r>
              <w:rPr>
                <w:rFonts w:hint="eastAsia"/>
                <w:highlight w:val="none"/>
                <w:lang w:val="en-US" w:eastAsia="zh-CN"/>
              </w:rPr>
              <w:t>能</w:t>
            </w:r>
            <w:r>
              <w:rPr>
                <w:rFonts w:hint="eastAsia"/>
                <w:highlight w:val="none"/>
                <w:lang w:val="en-US"/>
              </w:rPr>
              <w:t>源消耗降低（%）</w:t>
            </w:r>
          </w:p>
        </w:tc>
        <w:tc>
          <w:tcPr>
            <w:tcW w:w="1233" w:type="dxa"/>
            <w:noWrap w:val="0"/>
            <w:vAlign w:val="center"/>
          </w:tcPr>
          <w:p w14:paraId="320A2800">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0DEB2C10">
            <w:pPr>
              <w:pStyle w:val="46"/>
              <w:jc w:val="center"/>
              <w:rPr>
                <w:highlight w:val="none"/>
              </w:rPr>
            </w:pPr>
            <w:r>
              <w:rPr>
                <w:rFonts w:hint="eastAsia"/>
                <w:highlight w:val="none"/>
                <w:lang w:val="en-US"/>
              </w:rPr>
              <w:t>完成上级目标任务</w:t>
            </w:r>
          </w:p>
        </w:tc>
        <w:tc>
          <w:tcPr>
            <w:tcW w:w="1062" w:type="dxa"/>
            <w:noWrap w:val="0"/>
            <w:vAlign w:val="center"/>
          </w:tcPr>
          <w:p w14:paraId="7DB98D59">
            <w:pPr>
              <w:pStyle w:val="46"/>
              <w:jc w:val="center"/>
              <w:rPr>
                <w:rFonts w:hint="default"/>
                <w:highlight w:val="none"/>
                <w:lang w:val="en-US" w:eastAsia="zh-CN"/>
              </w:rPr>
            </w:pPr>
            <w:r>
              <w:rPr>
                <w:rFonts w:hint="eastAsia"/>
                <w:highlight w:val="none"/>
                <w:lang w:val="en-US" w:eastAsia="zh-CN"/>
              </w:rPr>
              <w:t>约束性</w:t>
            </w:r>
          </w:p>
        </w:tc>
      </w:tr>
      <w:tr w14:paraId="52B8D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noWrap w:val="0"/>
            <w:vAlign w:val="center"/>
          </w:tcPr>
          <w:p w14:paraId="119D8BCB">
            <w:pPr>
              <w:pStyle w:val="46"/>
              <w:ind w:left="7"/>
              <w:jc w:val="center"/>
              <w:rPr>
                <w:rFonts w:hint="eastAsia"/>
                <w:highlight w:val="none"/>
                <w:lang w:val="en-US" w:eastAsia="zh-CN"/>
              </w:rPr>
            </w:pPr>
            <w:r>
              <w:rPr>
                <w:rFonts w:hint="eastAsia"/>
                <w:highlight w:val="none"/>
                <w:lang w:val="en-US" w:eastAsia="zh-CN"/>
              </w:rPr>
              <w:t>9</w:t>
            </w:r>
          </w:p>
        </w:tc>
        <w:tc>
          <w:tcPr>
            <w:tcW w:w="725" w:type="dxa"/>
            <w:vMerge w:val="continue"/>
            <w:noWrap w:val="0"/>
            <w:vAlign w:val="center"/>
          </w:tcPr>
          <w:p w14:paraId="06F50A06">
            <w:pPr>
              <w:pStyle w:val="46"/>
              <w:jc w:val="center"/>
              <w:rPr>
                <w:rFonts w:hint="eastAsia"/>
                <w:highlight w:val="none"/>
              </w:rPr>
            </w:pPr>
          </w:p>
        </w:tc>
        <w:tc>
          <w:tcPr>
            <w:tcW w:w="884" w:type="dxa"/>
            <w:vMerge w:val="continue"/>
            <w:tcBorders>
              <w:bottom w:val="single" w:color="auto" w:sz="4" w:space="0"/>
            </w:tcBorders>
            <w:noWrap w:val="0"/>
            <w:vAlign w:val="center"/>
          </w:tcPr>
          <w:p w14:paraId="773F4733">
            <w:pPr>
              <w:pStyle w:val="46"/>
              <w:spacing w:line="280" w:lineRule="auto"/>
              <w:ind w:left="162" w:right="152"/>
              <w:jc w:val="center"/>
              <w:rPr>
                <w:rFonts w:hint="eastAsia"/>
                <w:highlight w:val="none"/>
                <w:lang w:val="en-US" w:eastAsia="zh-CN"/>
              </w:rPr>
            </w:pPr>
          </w:p>
        </w:tc>
        <w:tc>
          <w:tcPr>
            <w:tcW w:w="2609" w:type="dxa"/>
            <w:noWrap w:val="0"/>
            <w:vAlign w:val="center"/>
          </w:tcPr>
          <w:p w14:paraId="18AAE5F8">
            <w:pPr>
              <w:pStyle w:val="46"/>
              <w:jc w:val="left"/>
              <w:rPr>
                <w:rFonts w:hint="eastAsia"/>
                <w:highlight w:val="none"/>
                <w:lang w:val="en-US" w:eastAsia="zh-CN"/>
              </w:rPr>
            </w:pPr>
            <w:r>
              <w:rPr>
                <w:rFonts w:hint="eastAsia"/>
                <w:highlight w:val="none"/>
              </w:rPr>
              <w:t>非化石能源占一次能源消费比例（%）</w:t>
            </w:r>
          </w:p>
        </w:tc>
        <w:tc>
          <w:tcPr>
            <w:tcW w:w="1233" w:type="dxa"/>
            <w:noWrap w:val="0"/>
            <w:vAlign w:val="center"/>
          </w:tcPr>
          <w:p w14:paraId="7AFFFAA6">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33B96CA2">
            <w:pPr>
              <w:pStyle w:val="46"/>
              <w:jc w:val="center"/>
              <w:rPr>
                <w:rFonts w:hint="eastAsia"/>
                <w:highlight w:val="none"/>
                <w:lang w:val="en-US"/>
              </w:rPr>
            </w:pPr>
            <w:r>
              <w:rPr>
                <w:rFonts w:hint="eastAsia"/>
                <w:highlight w:val="none"/>
              </w:rPr>
              <w:t>完成上级目标任务</w:t>
            </w:r>
          </w:p>
        </w:tc>
        <w:tc>
          <w:tcPr>
            <w:tcW w:w="1062" w:type="dxa"/>
            <w:noWrap w:val="0"/>
            <w:vAlign w:val="center"/>
          </w:tcPr>
          <w:p w14:paraId="5F5016B1">
            <w:pPr>
              <w:pStyle w:val="46"/>
              <w:jc w:val="center"/>
              <w:rPr>
                <w:rFonts w:hint="default" w:eastAsiaTheme="minorEastAsia"/>
                <w:highlight w:val="none"/>
                <w:lang w:val="en-US" w:eastAsia="zh-CN"/>
              </w:rPr>
            </w:pPr>
            <w:r>
              <w:rPr>
                <w:rFonts w:hint="eastAsia"/>
                <w:highlight w:val="none"/>
                <w:lang w:val="en-US" w:eastAsia="zh-CN"/>
              </w:rPr>
              <w:t>预期性</w:t>
            </w:r>
          </w:p>
        </w:tc>
      </w:tr>
      <w:tr w14:paraId="5D523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noWrap w:val="0"/>
            <w:vAlign w:val="center"/>
          </w:tcPr>
          <w:p w14:paraId="0EA9D646">
            <w:pPr>
              <w:pStyle w:val="46"/>
              <w:ind w:left="7"/>
              <w:jc w:val="center"/>
              <w:rPr>
                <w:rFonts w:hint="default"/>
                <w:highlight w:val="none"/>
                <w:lang w:val="en-US" w:eastAsia="zh-CN"/>
              </w:rPr>
            </w:pPr>
            <w:r>
              <w:rPr>
                <w:rFonts w:hint="eastAsia"/>
                <w:highlight w:val="none"/>
                <w:lang w:val="en-US" w:eastAsia="zh-CN"/>
              </w:rPr>
              <w:t>10</w:t>
            </w:r>
          </w:p>
        </w:tc>
        <w:tc>
          <w:tcPr>
            <w:tcW w:w="725" w:type="dxa"/>
            <w:vMerge w:val="continue"/>
            <w:noWrap w:val="0"/>
            <w:vAlign w:val="center"/>
          </w:tcPr>
          <w:p w14:paraId="08B73CFE">
            <w:pPr>
              <w:pStyle w:val="46"/>
              <w:jc w:val="center"/>
              <w:rPr>
                <w:rFonts w:hint="eastAsia"/>
                <w:highlight w:val="none"/>
              </w:rPr>
            </w:pPr>
          </w:p>
        </w:tc>
        <w:tc>
          <w:tcPr>
            <w:tcW w:w="884" w:type="dxa"/>
            <w:vMerge w:val="restart"/>
            <w:tcBorders>
              <w:top w:val="single" w:color="auto" w:sz="4" w:space="0"/>
            </w:tcBorders>
            <w:noWrap w:val="0"/>
            <w:vAlign w:val="center"/>
          </w:tcPr>
          <w:p w14:paraId="794D6215">
            <w:pPr>
              <w:pStyle w:val="46"/>
              <w:spacing w:line="280" w:lineRule="auto"/>
              <w:ind w:left="162" w:right="152"/>
              <w:jc w:val="center"/>
              <w:rPr>
                <w:rFonts w:hint="eastAsia"/>
                <w:highlight w:val="none"/>
                <w:lang w:val="en-US" w:eastAsia="zh-CN"/>
              </w:rPr>
            </w:pPr>
            <w:r>
              <w:rPr>
                <w:rFonts w:hint="eastAsia"/>
                <w:highlight w:val="none"/>
                <w:lang w:val="en-US" w:eastAsia="zh-CN"/>
              </w:rPr>
              <w:t>主要污染物排放总量</w:t>
            </w:r>
          </w:p>
        </w:tc>
        <w:tc>
          <w:tcPr>
            <w:tcW w:w="2609" w:type="dxa"/>
            <w:noWrap w:val="0"/>
            <w:vAlign w:val="center"/>
          </w:tcPr>
          <w:p w14:paraId="5A50AB3B">
            <w:pPr>
              <w:pStyle w:val="46"/>
              <w:rPr>
                <w:rFonts w:hint="eastAsia"/>
                <w:highlight w:val="none"/>
                <w:lang w:val="en-US" w:eastAsia="zh-CN"/>
              </w:rPr>
            </w:pPr>
            <w:r>
              <w:rPr>
                <w:rFonts w:hint="eastAsia"/>
                <w:highlight w:val="none"/>
              </w:rPr>
              <w:t>氮氧化物排放量减少比例（%）</w:t>
            </w:r>
          </w:p>
        </w:tc>
        <w:tc>
          <w:tcPr>
            <w:tcW w:w="1233" w:type="dxa"/>
            <w:noWrap w:val="0"/>
            <w:vAlign w:val="center"/>
          </w:tcPr>
          <w:p w14:paraId="7A7F8A15">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08C26F83">
            <w:pPr>
              <w:pStyle w:val="46"/>
              <w:jc w:val="center"/>
              <w:rPr>
                <w:rFonts w:hint="eastAsia"/>
                <w:highlight w:val="none"/>
                <w:lang w:val="en-US"/>
              </w:rPr>
            </w:pPr>
            <w:r>
              <w:rPr>
                <w:rFonts w:hint="eastAsia"/>
                <w:highlight w:val="none"/>
              </w:rPr>
              <w:t>完成上级目标任务</w:t>
            </w:r>
          </w:p>
        </w:tc>
        <w:tc>
          <w:tcPr>
            <w:tcW w:w="1062" w:type="dxa"/>
            <w:noWrap w:val="0"/>
            <w:vAlign w:val="center"/>
          </w:tcPr>
          <w:p w14:paraId="35012649">
            <w:pPr>
              <w:pStyle w:val="46"/>
              <w:jc w:val="center"/>
              <w:rPr>
                <w:rFonts w:hint="default"/>
                <w:highlight w:val="none"/>
                <w:lang w:val="en-US" w:eastAsia="zh-CN"/>
              </w:rPr>
            </w:pPr>
            <w:r>
              <w:rPr>
                <w:rFonts w:hint="eastAsia"/>
                <w:highlight w:val="none"/>
                <w:lang w:val="en-US" w:eastAsia="zh-CN"/>
              </w:rPr>
              <w:t>约束性</w:t>
            </w:r>
          </w:p>
        </w:tc>
      </w:tr>
      <w:tr w14:paraId="1724B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0" w:hRule="atLeast"/>
          <w:jc w:val="center"/>
        </w:trPr>
        <w:tc>
          <w:tcPr>
            <w:tcW w:w="703" w:type="dxa"/>
            <w:noWrap w:val="0"/>
            <w:vAlign w:val="center"/>
          </w:tcPr>
          <w:p w14:paraId="3DFB6F61">
            <w:pPr>
              <w:pStyle w:val="46"/>
              <w:ind w:left="7"/>
              <w:jc w:val="center"/>
              <w:rPr>
                <w:rFonts w:hint="default"/>
                <w:highlight w:val="none"/>
                <w:lang w:val="en-US" w:eastAsia="zh-CN"/>
              </w:rPr>
            </w:pPr>
            <w:r>
              <w:rPr>
                <w:rFonts w:hint="eastAsia"/>
                <w:highlight w:val="none"/>
                <w:lang w:val="en-US" w:eastAsia="zh-CN"/>
              </w:rPr>
              <w:t>11</w:t>
            </w:r>
          </w:p>
        </w:tc>
        <w:tc>
          <w:tcPr>
            <w:tcW w:w="725" w:type="dxa"/>
            <w:vMerge w:val="continue"/>
            <w:noWrap w:val="0"/>
            <w:vAlign w:val="center"/>
          </w:tcPr>
          <w:p w14:paraId="29D10806">
            <w:pPr>
              <w:pStyle w:val="46"/>
              <w:jc w:val="center"/>
              <w:rPr>
                <w:rFonts w:hint="eastAsia"/>
                <w:highlight w:val="none"/>
              </w:rPr>
            </w:pPr>
          </w:p>
        </w:tc>
        <w:tc>
          <w:tcPr>
            <w:tcW w:w="884" w:type="dxa"/>
            <w:vMerge w:val="continue"/>
            <w:noWrap w:val="0"/>
            <w:vAlign w:val="center"/>
          </w:tcPr>
          <w:p w14:paraId="47F1803B">
            <w:pPr>
              <w:pStyle w:val="46"/>
              <w:jc w:val="center"/>
              <w:rPr>
                <w:rFonts w:hint="eastAsia"/>
                <w:highlight w:val="none"/>
              </w:rPr>
            </w:pPr>
          </w:p>
        </w:tc>
        <w:tc>
          <w:tcPr>
            <w:tcW w:w="2609" w:type="dxa"/>
            <w:noWrap w:val="0"/>
            <w:vAlign w:val="center"/>
          </w:tcPr>
          <w:p w14:paraId="440A3646">
            <w:pPr>
              <w:pStyle w:val="46"/>
              <w:rPr>
                <w:rFonts w:hint="eastAsia"/>
                <w:highlight w:val="none"/>
                <w:lang w:val="en-US" w:eastAsia="zh-CN"/>
              </w:rPr>
            </w:pPr>
            <w:r>
              <w:rPr>
                <w:rFonts w:hint="eastAsia"/>
                <w:highlight w:val="none"/>
              </w:rPr>
              <w:t>挥发性有机污染物排放量减少比例（%）</w:t>
            </w:r>
          </w:p>
        </w:tc>
        <w:tc>
          <w:tcPr>
            <w:tcW w:w="1233" w:type="dxa"/>
            <w:noWrap w:val="0"/>
            <w:vAlign w:val="center"/>
          </w:tcPr>
          <w:p w14:paraId="7FF01E59">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684D739B">
            <w:pPr>
              <w:pStyle w:val="46"/>
              <w:jc w:val="center"/>
              <w:rPr>
                <w:rFonts w:hint="eastAsia"/>
                <w:highlight w:val="none"/>
                <w:lang w:val="en-US"/>
              </w:rPr>
            </w:pPr>
            <w:r>
              <w:rPr>
                <w:rFonts w:hint="eastAsia"/>
                <w:highlight w:val="none"/>
              </w:rPr>
              <w:t>完成上级目标任务</w:t>
            </w:r>
          </w:p>
        </w:tc>
        <w:tc>
          <w:tcPr>
            <w:tcW w:w="1062" w:type="dxa"/>
            <w:noWrap w:val="0"/>
            <w:vAlign w:val="center"/>
          </w:tcPr>
          <w:p w14:paraId="61EF6F02">
            <w:pPr>
              <w:pStyle w:val="46"/>
              <w:jc w:val="center"/>
              <w:rPr>
                <w:rFonts w:hint="eastAsia" w:eastAsiaTheme="minorEastAsia"/>
                <w:highlight w:val="none"/>
                <w:lang w:val="en-US" w:eastAsia="zh-CN"/>
              </w:rPr>
            </w:pPr>
            <w:r>
              <w:rPr>
                <w:rFonts w:hint="eastAsia"/>
                <w:highlight w:val="none"/>
                <w:lang w:val="en-US" w:eastAsia="zh-CN"/>
              </w:rPr>
              <w:t>约束性</w:t>
            </w:r>
          </w:p>
        </w:tc>
      </w:tr>
      <w:tr w14:paraId="74943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03" w:type="dxa"/>
            <w:noWrap w:val="0"/>
            <w:vAlign w:val="center"/>
          </w:tcPr>
          <w:p w14:paraId="4A240410">
            <w:pPr>
              <w:pStyle w:val="46"/>
              <w:ind w:left="7"/>
              <w:jc w:val="center"/>
              <w:rPr>
                <w:rFonts w:hint="default"/>
                <w:highlight w:val="none"/>
                <w:lang w:val="en-US" w:eastAsia="zh-CN"/>
              </w:rPr>
            </w:pPr>
            <w:r>
              <w:rPr>
                <w:rFonts w:hint="eastAsia"/>
                <w:highlight w:val="none"/>
                <w:lang w:val="en-US" w:eastAsia="zh-CN"/>
              </w:rPr>
              <w:t>12</w:t>
            </w:r>
          </w:p>
        </w:tc>
        <w:tc>
          <w:tcPr>
            <w:tcW w:w="725" w:type="dxa"/>
            <w:vMerge w:val="continue"/>
            <w:noWrap w:val="0"/>
            <w:vAlign w:val="center"/>
          </w:tcPr>
          <w:p w14:paraId="54114D17">
            <w:pPr>
              <w:pStyle w:val="46"/>
              <w:jc w:val="center"/>
              <w:rPr>
                <w:rFonts w:hint="eastAsia"/>
                <w:highlight w:val="none"/>
              </w:rPr>
            </w:pPr>
          </w:p>
        </w:tc>
        <w:tc>
          <w:tcPr>
            <w:tcW w:w="884" w:type="dxa"/>
            <w:vMerge w:val="continue"/>
            <w:noWrap w:val="0"/>
            <w:vAlign w:val="center"/>
          </w:tcPr>
          <w:p w14:paraId="69496A22">
            <w:pPr>
              <w:pStyle w:val="46"/>
              <w:jc w:val="center"/>
              <w:rPr>
                <w:rFonts w:hint="eastAsia"/>
                <w:highlight w:val="none"/>
              </w:rPr>
            </w:pPr>
          </w:p>
        </w:tc>
        <w:tc>
          <w:tcPr>
            <w:tcW w:w="2609" w:type="dxa"/>
            <w:noWrap w:val="0"/>
            <w:vAlign w:val="center"/>
          </w:tcPr>
          <w:p w14:paraId="7A016B8C">
            <w:pPr>
              <w:pStyle w:val="46"/>
              <w:rPr>
                <w:rFonts w:hint="eastAsia"/>
                <w:highlight w:val="none"/>
                <w:lang w:val="en-US" w:eastAsia="zh-CN"/>
              </w:rPr>
            </w:pPr>
            <w:r>
              <w:rPr>
                <w:rFonts w:hint="eastAsia"/>
                <w:highlight w:val="none"/>
              </w:rPr>
              <w:t>化学需氧量排放量减少比例（%）</w:t>
            </w:r>
          </w:p>
        </w:tc>
        <w:tc>
          <w:tcPr>
            <w:tcW w:w="1233" w:type="dxa"/>
            <w:noWrap w:val="0"/>
            <w:vAlign w:val="center"/>
          </w:tcPr>
          <w:p w14:paraId="4CE10D03">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406ABB99">
            <w:pPr>
              <w:pStyle w:val="46"/>
              <w:jc w:val="center"/>
              <w:rPr>
                <w:rFonts w:hint="eastAsia"/>
                <w:highlight w:val="none"/>
                <w:lang w:val="en-US"/>
              </w:rPr>
            </w:pPr>
            <w:r>
              <w:rPr>
                <w:rFonts w:hint="eastAsia"/>
                <w:highlight w:val="none"/>
              </w:rPr>
              <w:t>完成上级目标任务</w:t>
            </w:r>
          </w:p>
        </w:tc>
        <w:tc>
          <w:tcPr>
            <w:tcW w:w="1062" w:type="dxa"/>
            <w:noWrap w:val="0"/>
            <w:vAlign w:val="center"/>
          </w:tcPr>
          <w:p w14:paraId="5D7B2312">
            <w:pPr>
              <w:pStyle w:val="46"/>
              <w:jc w:val="center"/>
              <w:rPr>
                <w:rFonts w:hint="eastAsia" w:eastAsiaTheme="minorEastAsia"/>
                <w:highlight w:val="none"/>
                <w:lang w:val="en-US" w:eastAsia="zh-CN"/>
              </w:rPr>
            </w:pPr>
            <w:r>
              <w:rPr>
                <w:rFonts w:hint="eastAsia"/>
                <w:highlight w:val="none"/>
                <w:lang w:val="en-US" w:eastAsia="zh-CN"/>
              </w:rPr>
              <w:t>约束性</w:t>
            </w:r>
          </w:p>
        </w:tc>
      </w:tr>
      <w:tr w14:paraId="45FC8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noWrap w:val="0"/>
            <w:vAlign w:val="center"/>
          </w:tcPr>
          <w:p w14:paraId="18D9172D">
            <w:pPr>
              <w:pStyle w:val="46"/>
              <w:ind w:left="7"/>
              <w:jc w:val="center"/>
              <w:rPr>
                <w:rFonts w:hint="default"/>
                <w:highlight w:val="none"/>
                <w:lang w:val="en-US" w:eastAsia="zh-CN"/>
              </w:rPr>
            </w:pPr>
            <w:r>
              <w:rPr>
                <w:rFonts w:hint="eastAsia"/>
                <w:highlight w:val="none"/>
                <w:lang w:val="en-US" w:eastAsia="zh-CN"/>
              </w:rPr>
              <w:t>13</w:t>
            </w:r>
          </w:p>
        </w:tc>
        <w:tc>
          <w:tcPr>
            <w:tcW w:w="725" w:type="dxa"/>
            <w:vMerge w:val="continue"/>
            <w:tcBorders>
              <w:bottom w:val="single" w:color="auto" w:sz="4" w:space="0"/>
            </w:tcBorders>
            <w:noWrap w:val="0"/>
            <w:vAlign w:val="center"/>
          </w:tcPr>
          <w:p w14:paraId="1B8212BF">
            <w:pPr>
              <w:pStyle w:val="46"/>
              <w:jc w:val="center"/>
              <w:rPr>
                <w:rFonts w:hint="eastAsia"/>
                <w:highlight w:val="none"/>
              </w:rPr>
            </w:pPr>
          </w:p>
        </w:tc>
        <w:tc>
          <w:tcPr>
            <w:tcW w:w="884" w:type="dxa"/>
            <w:vMerge w:val="continue"/>
            <w:tcBorders>
              <w:bottom w:val="single" w:color="auto" w:sz="4" w:space="0"/>
            </w:tcBorders>
            <w:noWrap w:val="0"/>
            <w:vAlign w:val="center"/>
          </w:tcPr>
          <w:p w14:paraId="408D6249">
            <w:pPr>
              <w:pStyle w:val="46"/>
              <w:jc w:val="center"/>
              <w:rPr>
                <w:rFonts w:hint="eastAsia"/>
                <w:highlight w:val="none"/>
              </w:rPr>
            </w:pPr>
          </w:p>
        </w:tc>
        <w:tc>
          <w:tcPr>
            <w:tcW w:w="2609" w:type="dxa"/>
            <w:noWrap w:val="0"/>
            <w:vAlign w:val="center"/>
          </w:tcPr>
          <w:p w14:paraId="6C7F8987">
            <w:pPr>
              <w:pStyle w:val="46"/>
              <w:rPr>
                <w:rFonts w:hint="eastAsia"/>
                <w:highlight w:val="none"/>
                <w:lang w:val="en-US" w:eastAsia="zh-CN"/>
              </w:rPr>
            </w:pPr>
            <w:r>
              <w:rPr>
                <w:rFonts w:hint="eastAsia"/>
                <w:highlight w:val="none"/>
              </w:rPr>
              <w:t>氨氮排放量减少比例（%）</w:t>
            </w:r>
          </w:p>
        </w:tc>
        <w:tc>
          <w:tcPr>
            <w:tcW w:w="1233" w:type="dxa"/>
            <w:noWrap w:val="0"/>
            <w:vAlign w:val="center"/>
          </w:tcPr>
          <w:p w14:paraId="51007021">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5A86DAEE">
            <w:pPr>
              <w:pStyle w:val="46"/>
              <w:jc w:val="center"/>
              <w:rPr>
                <w:rFonts w:hint="eastAsia"/>
                <w:highlight w:val="none"/>
                <w:lang w:val="en-US"/>
              </w:rPr>
            </w:pPr>
            <w:r>
              <w:rPr>
                <w:rFonts w:hint="eastAsia"/>
                <w:highlight w:val="none"/>
              </w:rPr>
              <w:t>完成上级目标任务</w:t>
            </w:r>
          </w:p>
        </w:tc>
        <w:tc>
          <w:tcPr>
            <w:tcW w:w="1062" w:type="dxa"/>
            <w:noWrap w:val="0"/>
            <w:vAlign w:val="center"/>
          </w:tcPr>
          <w:p w14:paraId="6B403DEF">
            <w:pPr>
              <w:pStyle w:val="46"/>
              <w:jc w:val="center"/>
              <w:rPr>
                <w:rFonts w:hint="eastAsia" w:eastAsiaTheme="minorEastAsia"/>
                <w:highlight w:val="none"/>
                <w:lang w:val="en-US" w:eastAsia="zh-CN"/>
              </w:rPr>
            </w:pPr>
            <w:r>
              <w:rPr>
                <w:rFonts w:hint="eastAsia"/>
                <w:highlight w:val="none"/>
                <w:lang w:val="en-US" w:eastAsia="zh-CN"/>
              </w:rPr>
              <w:t>约束性</w:t>
            </w:r>
          </w:p>
        </w:tc>
      </w:tr>
      <w:tr w14:paraId="1192E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noWrap w:val="0"/>
            <w:vAlign w:val="center"/>
          </w:tcPr>
          <w:p w14:paraId="76981B7C">
            <w:pPr>
              <w:pStyle w:val="46"/>
              <w:ind w:left="7"/>
              <w:jc w:val="center"/>
              <w:rPr>
                <w:rFonts w:hint="default"/>
                <w:highlight w:val="none"/>
                <w:lang w:val="en-US" w:eastAsia="zh-CN"/>
              </w:rPr>
            </w:pPr>
            <w:r>
              <w:rPr>
                <w:rFonts w:hint="eastAsia"/>
                <w:highlight w:val="none"/>
                <w:lang w:val="en-US" w:eastAsia="zh-CN"/>
              </w:rPr>
              <w:t>14</w:t>
            </w:r>
          </w:p>
        </w:tc>
        <w:tc>
          <w:tcPr>
            <w:tcW w:w="725" w:type="dxa"/>
            <w:vMerge w:val="restart"/>
            <w:tcBorders>
              <w:top w:val="single" w:color="auto" w:sz="4" w:space="0"/>
            </w:tcBorders>
            <w:noWrap w:val="0"/>
            <w:vAlign w:val="center"/>
          </w:tcPr>
          <w:p w14:paraId="6124E8CF">
            <w:pPr>
              <w:pStyle w:val="46"/>
              <w:jc w:val="center"/>
              <w:rPr>
                <w:rFonts w:hint="eastAsia"/>
                <w:highlight w:val="none"/>
              </w:rPr>
            </w:pPr>
            <w:r>
              <w:rPr>
                <w:rFonts w:hint="eastAsia"/>
                <w:highlight w:val="none"/>
              </w:rPr>
              <w:t>生态系统质量</w:t>
            </w:r>
          </w:p>
        </w:tc>
        <w:tc>
          <w:tcPr>
            <w:tcW w:w="3493" w:type="dxa"/>
            <w:gridSpan w:val="2"/>
            <w:tcBorders>
              <w:top w:val="single" w:color="auto" w:sz="4" w:space="0"/>
              <w:bottom w:val="single" w:color="auto" w:sz="4" w:space="0"/>
            </w:tcBorders>
            <w:noWrap w:val="0"/>
            <w:vAlign w:val="center"/>
          </w:tcPr>
          <w:p w14:paraId="7E1ED775">
            <w:pPr>
              <w:pStyle w:val="46"/>
              <w:rPr>
                <w:rFonts w:hint="eastAsia"/>
                <w:highlight w:val="none"/>
                <w:lang w:val="en-US" w:eastAsia="zh-CN"/>
              </w:rPr>
            </w:pPr>
            <w:r>
              <w:rPr>
                <w:rFonts w:hint="eastAsia"/>
                <w:highlight w:val="none"/>
                <w:lang w:val="en-US" w:eastAsia="zh-CN"/>
              </w:rPr>
              <w:t>生态保护红线占国土空间面积的比例（%）</w:t>
            </w:r>
          </w:p>
        </w:tc>
        <w:tc>
          <w:tcPr>
            <w:tcW w:w="1233" w:type="dxa"/>
            <w:noWrap w:val="0"/>
            <w:vAlign w:val="center"/>
          </w:tcPr>
          <w:p w14:paraId="17A31E35">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648E01EC">
            <w:pPr>
              <w:pStyle w:val="46"/>
              <w:jc w:val="center"/>
              <w:rPr>
                <w:rFonts w:hint="eastAsia"/>
                <w:highlight w:val="none"/>
                <w:lang w:val="en-US" w:eastAsia="zh-CN"/>
              </w:rPr>
            </w:pPr>
            <w:r>
              <w:rPr>
                <w:rFonts w:hint="eastAsia"/>
                <w:highlight w:val="none"/>
                <w:lang w:val="en-US" w:eastAsia="zh-CN"/>
              </w:rPr>
              <w:t>不降低</w:t>
            </w:r>
          </w:p>
        </w:tc>
        <w:tc>
          <w:tcPr>
            <w:tcW w:w="1062" w:type="dxa"/>
            <w:noWrap w:val="0"/>
            <w:vAlign w:val="center"/>
          </w:tcPr>
          <w:p w14:paraId="7B0A922D">
            <w:pPr>
              <w:pStyle w:val="46"/>
              <w:jc w:val="center"/>
              <w:rPr>
                <w:rFonts w:hint="default"/>
                <w:highlight w:val="none"/>
                <w:lang w:val="en-US" w:eastAsia="zh-CN"/>
              </w:rPr>
            </w:pPr>
            <w:r>
              <w:rPr>
                <w:rFonts w:hint="eastAsia"/>
                <w:highlight w:val="none"/>
                <w:lang w:val="en-US" w:eastAsia="zh-CN"/>
              </w:rPr>
              <w:t>预期性</w:t>
            </w:r>
          </w:p>
        </w:tc>
      </w:tr>
      <w:tr w14:paraId="2D092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bottom w:val="single" w:color="auto" w:sz="4" w:space="0"/>
            </w:tcBorders>
            <w:noWrap w:val="0"/>
            <w:vAlign w:val="center"/>
          </w:tcPr>
          <w:p w14:paraId="568DCA51">
            <w:pPr>
              <w:pStyle w:val="46"/>
              <w:ind w:left="7"/>
              <w:jc w:val="center"/>
              <w:rPr>
                <w:rFonts w:hint="default"/>
                <w:highlight w:val="none"/>
                <w:lang w:val="en-US" w:eastAsia="zh-CN"/>
              </w:rPr>
            </w:pPr>
            <w:r>
              <w:rPr>
                <w:rFonts w:hint="eastAsia"/>
                <w:highlight w:val="none"/>
                <w:lang w:val="en-US" w:eastAsia="zh-CN"/>
              </w:rPr>
              <w:t>15</w:t>
            </w:r>
          </w:p>
        </w:tc>
        <w:tc>
          <w:tcPr>
            <w:tcW w:w="725" w:type="dxa"/>
            <w:vMerge w:val="continue"/>
            <w:noWrap w:val="0"/>
            <w:vAlign w:val="center"/>
          </w:tcPr>
          <w:p w14:paraId="332791FE">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421A06E5">
            <w:pPr>
              <w:pStyle w:val="46"/>
              <w:rPr>
                <w:rFonts w:hint="eastAsia"/>
                <w:highlight w:val="none"/>
                <w:lang w:val="en-US" w:eastAsia="zh-CN"/>
              </w:rPr>
            </w:pPr>
            <w:r>
              <w:rPr>
                <w:rFonts w:hint="eastAsia"/>
                <w:highlight w:val="none"/>
                <w:lang w:val="en-US" w:eastAsia="zh-CN"/>
              </w:rPr>
              <w:t>生态质量指数（新EI）</w:t>
            </w:r>
          </w:p>
        </w:tc>
        <w:tc>
          <w:tcPr>
            <w:tcW w:w="1233" w:type="dxa"/>
            <w:noWrap w:val="0"/>
            <w:vAlign w:val="center"/>
          </w:tcPr>
          <w:p w14:paraId="3262E413">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16E9B307">
            <w:pPr>
              <w:pStyle w:val="46"/>
              <w:jc w:val="center"/>
              <w:rPr>
                <w:rFonts w:hint="eastAsia"/>
                <w:highlight w:val="none"/>
                <w:lang w:val="en-US" w:eastAsia="zh-CN"/>
              </w:rPr>
            </w:pPr>
            <w:r>
              <w:rPr>
                <w:rFonts w:hint="eastAsia"/>
                <w:highlight w:val="none"/>
                <w:lang w:val="en-US" w:eastAsia="zh-CN"/>
              </w:rPr>
              <w:t>保持稳定</w:t>
            </w:r>
          </w:p>
        </w:tc>
        <w:tc>
          <w:tcPr>
            <w:tcW w:w="1062" w:type="dxa"/>
            <w:noWrap w:val="0"/>
            <w:vAlign w:val="center"/>
          </w:tcPr>
          <w:p w14:paraId="202AEE79">
            <w:pPr>
              <w:pStyle w:val="46"/>
              <w:jc w:val="center"/>
              <w:rPr>
                <w:rFonts w:hint="default"/>
                <w:highlight w:val="none"/>
                <w:lang w:val="en-US" w:eastAsia="zh-CN"/>
              </w:rPr>
            </w:pPr>
            <w:r>
              <w:rPr>
                <w:rFonts w:hint="eastAsia"/>
                <w:highlight w:val="none"/>
                <w:lang w:val="en-US" w:eastAsia="zh-CN"/>
              </w:rPr>
              <w:t>预期性</w:t>
            </w:r>
          </w:p>
        </w:tc>
      </w:tr>
      <w:tr w14:paraId="5E631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1BE1FAD4">
            <w:pPr>
              <w:pStyle w:val="46"/>
              <w:ind w:left="7"/>
              <w:jc w:val="center"/>
              <w:rPr>
                <w:rFonts w:hint="default"/>
                <w:highlight w:val="none"/>
                <w:lang w:val="en-US" w:eastAsia="zh-CN"/>
              </w:rPr>
            </w:pPr>
            <w:r>
              <w:rPr>
                <w:rFonts w:hint="eastAsia"/>
                <w:highlight w:val="none"/>
                <w:lang w:val="en-US" w:eastAsia="zh-CN"/>
              </w:rPr>
              <w:t>16</w:t>
            </w:r>
          </w:p>
        </w:tc>
        <w:tc>
          <w:tcPr>
            <w:tcW w:w="725" w:type="dxa"/>
            <w:vMerge w:val="continue"/>
            <w:noWrap w:val="0"/>
            <w:vAlign w:val="center"/>
          </w:tcPr>
          <w:p w14:paraId="24151F6F">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448E3FAC">
            <w:pPr>
              <w:pStyle w:val="46"/>
              <w:rPr>
                <w:rFonts w:hint="eastAsia"/>
                <w:highlight w:val="none"/>
                <w:lang w:val="en-US" w:eastAsia="zh-CN"/>
              </w:rPr>
            </w:pPr>
            <w:r>
              <w:rPr>
                <w:rFonts w:hint="eastAsia"/>
                <w:highlight w:val="none"/>
                <w:lang w:val="en-US" w:eastAsia="zh-CN"/>
              </w:rPr>
              <w:t>森林覆盖率（%）</w:t>
            </w:r>
          </w:p>
        </w:tc>
        <w:tc>
          <w:tcPr>
            <w:tcW w:w="1233" w:type="dxa"/>
            <w:noWrap w:val="0"/>
            <w:vAlign w:val="center"/>
          </w:tcPr>
          <w:p w14:paraId="0EBCD919">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28291CE7">
            <w:pPr>
              <w:pStyle w:val="46"/>
              <w:jc w:val="center"/>
              <w:rPr>
                <w:rFonts w:hint="default"/>
                <w:highlight w:val="none"/>
                <w:lang w:val="en-US" w:eastAsia="zh-CN"/>
              </w:rPr>
            </w:pPr>
            <w:r>
              <w:rPr>
                <w:rFonts w:hint="eastAsia"/>
                <w:highlight w:val="none"/>
                <w:lang w:val="en-US" w:eastAsia="zh-CN"/>
              </w:rPr>
              <w:t>保持稳定</w:t>
            </w:r>
          </w:p>
        </w:tc>
        <w:tc>
          <w:tcPr>
            <w:tcW w:w="1062" w:type="dxa"/>
            <w:noWrap w:val="0"/>
            <w:vAlign w:val="center"/>
          </w:tcPr>
          <w:p w14:paraId="2136A6E6">
            <w:pPr>
              <w:pStyle w:val="46"/>
              <w:jc w:val="center"/>
              <w:rPr>
                <w:rFonts w:hint="default"/>
                <w:highlight w:val="none"/>
                <w:lang w:val="en-US" w:eastAsia="zh-CN"/>
              </w:rPr>
            </w:pPr>
            <w:r>
              <w:rPr>
                <w:rFonts w:hint="eastAsia"/>
                <w:highlight w:val="none"/>
                <w:lang w:val="en-US" w:eastAsia="zh-CN"/>
              </w:rPr>
              <w:t>约束性</w:t>
            </w:r>
          </w:p>
        </w:tc>
      </w:tr>
      <w:tr w14:paraId="7C059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3D8742F8">
            <w:pPr>
              <w:pStyle w:val="46"/>
              <w:ind w:left="7"/>
              <w:jc w:val="center"/>
              <w:rPr>
                <w:rFonts w:hint="default"/>
                <w:highlight w:val="none"/>
                <w:lang w:val="en-US" w:eastAsia="zh-CN"/>
              </w:rPr>
            </w:pPr>
            <w:r>
              <w:rPr>
                <w:rFonts w:hint="eastAsia"/>
                <w:highlight w:val="none"/>
                <w:lang w:val="en-US" w:eastAsia="zh-CN"/>
              </w:rPr>
              <w:t>17</w:t>
            </w:r>
          </w:p>
        </w:tc>
        <w:tc>
          <w:tcPr>
            <w:tcW w:w="725" w:type="dxa"/>
            <w:vMerge w:val="continue"/>
            <w:noWrap w:val="0"/>
            <w:vAlign w:val="center"/>
          </w:tcPr>
          <w:p w14:paraId="13D1FA3C">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4DC2ED80">
            <w:pPr>
              <w:pStyle w:val="46"/>
              <w:rPr>
                <w:rFonts w:hint="default"/>
                <w:highlight w:val="none"/>
                <w:lang w:val="en-US" w:eastAsia="zh-CN"/>
              </w:rPr>
            </w:pPr>
            <w:r>
              <w:rPr>
                <w:rFonts w:hint="eastAsia"/>
                <w:highlight w:val="none"/>
                <w:lang w:val="en-US" w:eastAsia="zh-CN"/>
              </w:rPr>
              <w:t>森林蓄积量（亿m</w:t>
            </w:r>
            <w:r>
              <w:rPr>
                <w:rFonts w:hint="eastAsia"/>
                <w:highlight w:val="none"/>
                <w:vertAlign w:val="superscript"/>
                <w:lang w:val="en-US" w:eastAsia="zh-CN"/>
              </w:rPr>
              <w:t>3</w:t>
            </w:r>
            <w:r>
              <w:rPr>
                <w:rFonts w:hint="eastAsia"/>
                <w:highlight w:val="none"/>
                <w:lang w:val="en-US" w:eastAsia="zh-CN"/>
              </w:rPr>
              <w:t>）</w:t>
            </w:r>
          </w:p>
        </w:tc>
        <w:tc>
          <w:tcPr>
            <w:tcW w:w="1233" w:type="dxa"/>
            <w:noWrap w:val="0"/>
            <w:vAlign w:val="center"/>
          </w:tcPr>
          <w:p w14:paraId="19525E7E">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4402FAFA">
            <w:pPr>
              <w:pStyle w:val="46"/>
              <w:jc w:val="center"/>
              <w:rPr>
                <w:rFonts w:hint="default"/>
                <w:highlight w:val="none"/>
                <w:lang w:val="en-US" w:eastAsia="zh-CN"/>
              </w:rPr>
            </w:pPr>
            <w:r>
              <w:rPr>
                <w:rFonts w:hint="eastAsia"/>
                <w:highlight w:val="none"/>
                <w:lang w:val="en-US" w:eastAsia="zh-CN"/>
              </w:rPr>
              <w:t>保持稳定</w:t>
            </w:r>
          </w:p>
        </w:tc>
        <w:tc>
          <w:tcPr>
            <w:tcW w:w="1062" w:type="dxa"/>
            <w:noWrap w:val="0"/>
            <w:vAlign w:val="center"/>
          </w:tcPr>
          <w:p w14:paraId="18546FBF">
            <w:pPr>
              <w:pStyle w:val="46"/>
              <w:jc w:val="center"/>
              <w:rPr>
                <w:rFonts w:hint="default"/>
                <w:highlight w:val="none"/>
                <w:lang w:val="en-US" w:eastAsia="zh-CN"/>
              </w:rPr>
            </w:pPr>
            <w:r>
              <w:rPr>
                <w:rFonts w:hint="eastAsia"/>
                <w:highlight w:val="none"/>
                <w:lang w:val="en-US" w:eastAsia="zh-CN"/>
              </w:rPr>
              <w:t>预期性</w:t>
            </w:r>
          </w:p>
        </w:tc>
      </w:tr>
      <w:tr w14:paraId="712CE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0D3DAE8A">
            <w:pPr>
              <w:pStyle w:val="46"/>
              <w:ind w:left="7"/>
              <w:jc w:val="center"/>
              <w:rPr>
                <w:rFonts w:hint="default"/>
                <w:highlight w:val="none"/>
                <w:lang w:val="en-US" w:eastAsia="zh-CN"/>
              </w:rPr>
            </w:pPr>
            <w:r>
              <w:rPr>
                <w:rFonts w:hint="eastAsia"/>
                <w:highlight w:val="none"/>
                <w:lang w:val="en-US" w:eastAsia="zh-CN"/>
              </w:rPr>
              <w:t>18</w:t>
            </w:r>
          </w:p>
        </w:tc>
        <w:tc>
          <w:tcPr>
            <w:tcW w:w="725" w:type="dxa"/>
            <w:vMerge w:val="continue"/>
            <w:tcBorders>
              <w:bottom w:val="single" w:color="auto" w:sz="4" w:space="0"/>
            </w:tcBorders>
            <w:noWrap w:val="0"/>
            <w:vAlign w:val="center"/>
          </w:tcPr>
          <w:p w14:paraId="2ACDE3C9">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3FB9E8B5">
            <w:pPr>
              <w:pStyle w:val="46"/>
              <w:rPr>
                <w:rFonts w:hint="eastAsia"/>
                <w:highlight w:val="none"/>
                <w:lang w:val="en-US" w:eastAsia="zh-CN"/>
              </w:rPr>
            </w:pPr>
            <w:r>
              <w:rPr>
                <w:rFonts w:hint="eastAsia"/>
                <w:highlight w:val="none"/>
                <w:lang w:val="en-US" w:eastAsia="zh-CN"/>
              </w:rPr>
              <w:t>草原植被综合盖度（%）</w:t>
            </w:r>
          </w:p>
        </w:tc>
        <w:tc>
          <w:tcPr>
            <w:tcW w:w="1233" w:type="dxa"/>
            <w:noWrap w:val="0"/>
            <w:vAlign w:val="center"/>
          </w:tcPr>
          <w:p w14:paraId="085DFBFB">
            <w:pPr>
              <w:pStyle w:val="46"/>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018E2A5F">
            <w:pPr>
              <w:pStyle w:val="46"/>
              <w:jc w:val="center"/>
              <w:rPr>
                <w:rFonts w:hint="default"/>
                <w:highlight w:val="none"/>
                <w:lang w:val="en-US" w:eastAsia="zh-CN"/>
              </w:rPr>
            </w:pPr>
            <w:r>
              <w:rPr>
                <w:rFonts w:hint="eastAsia"/>
                <w:highlight w:val="none"/>
                <w:lang w:val="en-US" w:eastAsia="zh-CN"/>
              </w:rPr>
              <w:t>保持稳定</w:t>
            </w:r>
          </w:p>
        </w:tc>
        <w:tc>
          <w:tcPr>
            <w:tcW w:w="1062" w:type="dxa"/>
            <w:noWrap w:val="0"/>
            <w:vAlign w:val="center"/>
          </w:tcPr>
          <w:p w14:paraId="236779BD">
            <w:pPr>
              <w:pStyle w:val="46"/>
              <w:jc w:val="center"/>
              <w:rPr>
                <w:rFonts w:hint="default"/>
                <w:highlight w:val="none"/>
                <w:lang w:val="en-US" w:eastAsia="zh-CN"/>
              </w:rPr>
            </w:pPr>
            <w:r>
              <w:rPr>
                <w:rFonts w:hint="eastAsia"/>
                <w:highlight w:val="none"/>
                <w:lang w:val="en-US" w:eastAsia="zh-CN"/>
              </w:rPr>
              <w:t>约束性</w:t>
            </w:r>
          </w:p>
        </w:tc>
      </w:tr>
      <w:tr w14:paraId="2F34B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080156DF">
            <w:pPr>
              <w:pStyle w:val="46"/>
              <w:ind w:left="7"/>
              <w:jc w:val="center"/>
              <w:rPr>
                <w:rFonts w:hint="default"/>
                <w:highlight w:val="none"/>
                <w:lang w:val="en-US" w:eastAsia="zh-CN"/>
              </w:rPr>
            </w:pPr>
            <w:r>
              <w:rPr>
                <w:rFonts w:hint="eastAsia"/>
                <w:highlight w:val="none"/>
                <w:lang w:val="en-US" w:eastAsia="zh-CN"/>
              </w:rPr>
              <w:t>19</w:t>
            </w:r>
          </w:p>
        </w:tc>
        <w:tc>
          <w:tcPr>
            <w:tcW w:w="725" w:type="dxa"/>
            <w:vMerge w:val="restart"/>
            <w:tcBorders>
              <w:top w:val="single" w:color="auto" w:sz="4" w:space="0"/>
            </w:tcBorders>
            <w:noWrap w:val="0"/>
            <w:vAlign w:val="center"/>
          </w:tcPr>
          <w:p w14:paraId="5C0ABC9A">
            <w:pPr>
              <w:pStyle w:val="46"/>
              <w:jc w:val="center"/>
              <w:rPr>
                <w:rFonts w:hint="eastAsia"/>
                <w:highlight w:val="none"/>
              </w:rPr>
            </w:pPr>
            <w:r>
              <w:rPr>
                <w:rFonts w:hint="eastAsia"/>
                <w:highlight w:val="none"/>
              </w:rPr>
              <w:t>环境风险防范</w:t>
            </w:r>
          </w:p>
        </w:tc>
        <w:tc>
          <w:tcPr>
            <w:tcW w:w="884" w:type="dxa"/>
            <w:vMerge w:val="restart"/>
            <w:tcBorders>
              <w:top w:val="single" w:color="auto" w:sz="4" w:space="0"/>
            </w:tcBorders>
            <w:noWrap w:val="0"/>
            <w:vAlign w:val="center"/>
          </w:tcPr>
          <w:p w14:paraId="62ADA616">
            <w:pPr>
              <w:pStyle w:val="46"/>
              <w:spacing w:line="280" w:lineRule="auto"/>
              <w:ind w:left="162" w:right="152"/>
              <w:jc w:val="center"/>
              <w:rPr>
                <w:rFonts w:hint="eastAsia"/>
                <w:highlight w:val="none"/>
                <w:lang w:val="en-US" w:eastAsia="zh-CN"/>
              </w:rPr>
            </w:pPr>
            <w:r>
              <w:rPr>
                <w:rFonts w:hint="eastAsia"/>
                <w:highlight w:val="none"/>
                <w:lang w:val="en-US" w:eastAsia="zh-CN"/>
              </w:rPr>
              <w:t>土壤生态环境质量</w:t>
            </w:r>
          </w:p>
        </w:tc>
        <w:tc>
          <w:tcPr>
            <w:tcW w:w="2609" w:type="dxa"/>
            <w:noWrap w:val="0"/>
            <w:vAlign w:val="center"/>
          </w:tcPr>
          <w:p w14:paraId="765A89A8">
            <w:pPr>
              <w:pStyle w:val="46"/>
              <w:spacing w:line="280" w:lineRule="auto"/>
              <w:ind w:left="162" w:right="152"/>
              <w:jc w:val="left"/>
              <w:rPr>
                <w:rFonts w:hint="eastAsia"/>
                <w:highlight w:val="none"/>
                <w:lang w:val="en-US" w:eastAsia="zh-CN"/>
              </w:rPr>
            </w:pPr>
            <w:r>
              <w:rPr>
                <w:rFonts w:hint="eastAsia"/>
                <w:highlight w:val="none"/>
                <w:lang w:val="en-US" w:eastAsia="zh-CN"/>
              </w:rPr>
              <w:t>受污染耕地安全利用率(%)</w:t>
            </w:r>
          </w:p>
        </w:tc>
        <w:tc>
          <w:tcPr>
            <w:tcW w:w="1233" w:type="dxa"/>
            <w:noWrap w:val="0"/>
            <w:vAlign w:val="center"/>
          </w:tcPr>
          <w:p w14:paraId="138B7C26">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37897364">
            <w:pPr>
              <w:pStyle w:val="46"/>
              <w:jc w:val="center"/>
              <w:rPr>
                <w:rFonts w:hint="eastAsia"/>
                <w:highlight w:val="none"/>
                <w:lang w:val="en-US" w:eastAsia="zh-CN"/>
              </w:rPr>
            </w:pPr>
            <w:r>
              <w:rPr>
                <w:rFonts w:hint="eastAsia"/>
                <w:highlight w:val="none"/>
                <w:lang w:val="en-US" w:eastAsia="zh-CN"/>
              </w:rPr>
              <w:t>/</w:t>
            </w:r>
          </w:p>
        </w:tc>
        <w:tc>
          <w:tcPr>
            <w:tcW w:w="1062" w:type="dxa"/>
            <w:noWrap w:val="0"/>
            <w:vAlign w:val="center"/>
          </w:tcPr>
          <w:p w14:paraId="37439791">
            <w:pPr>
              <w:pStyle w:val="46"/>
              <w:jc w:val="center"/>
              <w:rPr>
                <w:rFonts w:hint="default"/>
                <w:highlight w:val="none"/>
                <w:lang w:val="en-US" w:eastAsia="zh-CN"/>
              </w:rPr>
            </w:pPr>
            <w:r>
              <w:rPr>
                <w:rFonts w:hint="eastAsia"/>
                <w:highlight w:val="none"/>
                <w:lang w:val="en-US" w:eastAsia="zh-CN"/>
              </w:rPr>
              <w:t>预期性</w:t>
            </w:r>
          </w:p>
        </w:tc>
      </w:tr>
      <w:tr w14:paraId="3559C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1601E3CC">
            <w:pPr>
              <w:pStyle w:val="46"/>
              <w:ind w:left="7"/>
              <w:jc w:val="center"/>
              <w:rPr>
                <w:rFonts w:hint="default"/>
                <w:highlight w:val="none"/>
                <w:lang w:val="en-US" w:eastAsia="zh-CN"/>
              </w:rPr>
            </w:pPr>
            <w:r>
              <w:rPr>
                <w:rFonts w:hint="eastAsia"/>
                <w:highlight w:val="none"/>
                <w:lang w:val="en-US" w:eastAsia="zh-CN"/>
              </w:rPr>
              <w:t>20</w:t>
            </w:r>
          </w:p>
        </w:tc>
        <w:tc>
          <w:tcPr>
            <w:tcW w:w="725" w:type="dxa"/>
            <w:vMerge w:val="continue"/>
            <w:noWrap w:val="0"/>
            <w:vAlign w:val="center"/>
          </w:tcPr>
          <w:p w14:paraId="6877E0B9">
            <w:pPr>
              <w:pStyle w:val="46"/>
              <w:jc w:val="center"/>
              <w:rPr>
                <w:rFonts w:hint="eastAsia"/>
                <w:highlight w:val="none"/>
              </w:rPr>
            </w:pPr>
          </w:p>
        </w:tc>
        <w:tc>
          <w:tcPr>
            <w:tcW w:w="884" w:type="dxa"/>
            <w:vMerge w:val="continue"/>
            <w:tcBorders>
              <w:bottom w:val="single" w:color="auto" w:sz="4" w:space="0"/>
            </w:tcBorders>
            <w:noWrap w:val="0"/>
            <w:vAlign w:val="center"/>
          </w:tcPr>
          <w:p w14:paraId="1C3AE064">
            <w:pPr>
              <w:pStyle w:val="46"/>
              <w:spacing w:line="280" w:lineRule="auto"/>
              <w:ind w:left="162" w:right="152"/>
              <w:jc w:val="center"/>
              <w:rPr>
                <w:rFonts w:hint="eastAsia"/>
                <w:highlight w:val="none"/>
                <w:lang w:val="en-US" w:eastAsia="zh-CN"/>
              </w:rPr>
            </w:pPr>
          </w:p>
        </w:tc>
        <w:tc>
          <w:tcPr>
            <w:tcW w:w="2609" w:type="dxa"/>
            <w:noWrap w:val="0"/>
            <w:vAlign w:val="center"/>
          </w:tcPr>
          <w:p w14:paraId="038E6688">
            <w:pPr>
              <w:pStyle w:val="46"/>
              <w:spacing w:line="280" w:lineRule="auto"/>
              <w:ind w:left="162" w:right="152"/>
              <w:jc w:val="left"/>
              <w:rPr>
                <w:rFonts w:hint="eastAsia"/>
                <w:highlight w:val="none"/>
                <w:lang w:val="en-US" w:eastAsia="zh-CN"/>
              </w:rPr>
            </w:pPr>
            <w:r>
              <w:rPr>
                <w:rFonts w:hint="eastAsia"/>
                <w:highlight w:val="none"/>
                <w:lang w:val="en-US" w:eastAsia="zh-CN"/>
              </w:rPr>
              <w:t>污染地块安全利用率（%）</w:t>
            </w:r>
          </w:p>
        </w:tc>
        <w:tc>
          <w:tcPr>
            <w:tcW w:w="1233" w:type="dxa"/>
            <w:noWrap w:val="0"/>
            <w:vAlign w:val="center"/>
          </w:tcPr>
          <w:p w14:paraId="5542FADE">
            <w:pPr>
              <w:pStyle w:val="46"/>
              <w:ind w:left="106" w:right="101"/>
              <w:jc w:val="center"/>
              <w:rPr>
                <w:rFonts w:hint="default"/>
                <w:highlight w:val="none"/>
                <w:lang w:val="en-US" w:eastAsia="zh-CN"/>
              </w:rPr>
            </w:pPr>
            <w:r>
              <w:rPr>
                <w:rFonts w:hint="eastAsia"/>
                <w:highlight w:val="none"/>
                <w:lang w:val="en-US" w:eastAsia="zh-CN"/>
              </w:rPr>
              <w:t>/</w:t>
            </w:r>
          </w:p>
        </w:tc>
        <w:tc>
          <w:tcPr>
            <w:tcW w:w="1308" w:type="dxa"/>
            <w:noWrap w:val="0"/>
            <w:vAlign w:val="center"/>
          </w:tcPr>
          <w:p w14:paraId="1259D24D">
            <w:pPr>
              <w:pStyle w:val="46"/>
              <w:jc w:val="center"/>
              <w:rPr>
                <w:rFonts w:hint="default"/>
                <w:highlight w:val="none"/>
                <w:lang w:val="en-US" w:eastAsia="zh-CN"/>
              </w:rPr>
            </w:pPr>
            <w:r>
              <w:rPr>
                <w:rFonts w:hint="eastAsia"/>
                <w:highlight w:val="none"/>
                <w:lang w:val="en-US" w:eastAsia="zh-CN"/>
              </w:rPr>
              <w:t>/</w:t>
            </w:r>
          </w:p>
        </w:tc>
        <w:tc>
          <w:tcPr>
            <w:tcW w:w="1062" w:type="dxa"/>
            <w:noWrap w:val="0"/>
            <w:vAlign w:val="center"/>
          </w:tcPr>
          <w:p w14:paraId="30622D56">
            <w:pPr>
              <w:pStyle w:val="46"/>
              <w:jc w:val="center"/>
              <w:rPr>
                <w:rFonts w:hint="eastAsia" w:eastAsiaTheme="minorEastAsia"/>
                <w:highlight w:val="none"/>
                <w:lang w:val="en-US" w:eastAsia="zh-CN"/>
              </w:rPr>
            </w:pPr>
            <w:r>
              <w:rPr>
                <w:rFonts w:hint="eastAsia"/>
                <w:highlight w:val="none"/>
                <w:lang w:val="en-US" w:eastAsia="zh-CN"/>
              </w:rPr>
              <w:t>预期性</w:t>
            </w:r>
          </w:p>
        </w:tc>
      </w:tr>
      <w:tr w14:paraId="12976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5538759C">
            <w:pPr>
              <w:pStyle w:val="46"/>
              <w:ind w:left="7"/>
              <w:jc w:val="center"/>
              <w:rPr>
                <w:rFonts w:hint="default"/>
                <w:highlight w:val="none"/>
                <w:lang w:val="en-US" w:eastAsia="zh-CN"/>
              </w:rPr>
            </w:pPr>
            <w:r>
              <w:rPr>
                <w:rFonts w:hint="eastAsia"/>
                <w:highlight w:val="none"/>
                <w:lang w:val="en-US" w:eastAsia="zh-CN"/>
              </w:rPr>
              <w:t>21</w:t>
            </w:r>
          </w:p>
        </w:tc>
        <w:tc>
          <w:tcPr>
            <w:tcW w:w="725" w:type="dxa"/>
            <w:vMerge w:val="continue"/>
            <w:noWrap w:val="0"/>
            <w:vAlign w:val="center"/>
          </w:tcPr>
          <w:p w14:paraId="1CB00A4D">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05E66BC7">
            <w:pPr>
              <w:pStyle w:val="46"/>
              <w:rPr>
                <w:rFonts w:hint="eastAsia"/>
                <w:highlight w:val="none"/>
                <w:lang w:val="en-US" w:eastAsia="zh-CN"/>
              </w:rPr>
            </w:pPr>
            <w:r>
              <w:rPr>
                <w:rFonts w:hint="eastAsia"/>
                <w:highlight w:val="none"/>
                <w:lang w:val="en-US" w:eastAsia="zh-CN"/>
              </w:rPr>
              <w:t>地下水质量Ⅴ类水体比例（%）</w:t>
            </w:r>
          </w:p>
        </w:tc>
        <w:tc>
          <w:tcPr>
            <w:tcW w:w="1233" w:type="dxa"/>
            <w:noWrap w:val="0"/>
            <w:vAlign w:val="center"/>
          </w:tcPr>
          <w:p w14:paraId="1A66E764">
            <w:pPr>
              <w:pStyle w:val="46"/>
              <w:ind w:left="106" w:right="101"/>
              <w:jc w:val="center"/>
              <w:rPr>
                <w:rFonts w:hint="eastAsia"/>
                <w:highlight w:val="none"/>
                <w:lang w:val="en-US" w:eastAsia="zh-CN"/>
              </w:rPr>
            </w:pPr>
            <w:r>
              <w:rPr>
                <w:rFonts w:hint="eastAsia"/>
                <w:highlight w:val="none"/>
                <w:lang w:val="en-US" w:eastAsia="zh-CN"/>
              </w:rPr>
              <w:t>/</w:t>
            </w:r>
          </w:p>
        </w:tc>
        <w:tc>
          <w:tcPr>
            <w:tcW w:w="1308" w:type="dxa"/>
            <w:noWrap w:val="0"/>
            <w:vAlign w:val="center"/>
          </w:tcPr>
          <w:p w14:paraId="29FA5DD7">
            <w:pPr>
              <w:pStyle w:val="46"/>
              <w:jc w:val="center"/>
              <w:rPr>
                <w:rFonts w:hint="eastAsia"/>
                <w:highlight w:val="none"/>
                <w:lang w:val="en-US" w:eastAsia="zh-CN"/>
              </w:rPr>
            </w:pPr>
            <w:r>
              <w:rPr>
                <w:rFonts w:hint="eastAsia"/>
                <w:highlight w:val="none"/>
                <w:lang w:val="en-US" w:eastAsia="zh-CN"/>
              </w:rPr>
              <w:t>/</w:t>
            </w:r>
          </w:p>
        </w:tc>
        <w:tc>
          <w:tcPr>
            <w:tcW w:w="1062" w:type="dxa"/>
            <w:noWrap w:val="0"/>
            <w:vAlign w:val="center"/>
          </w:tcPr>
          <w:p w14:paraId="01DA826D">
            <w:pPr>
              <w:pStyle w:val="46"/>
              <w:jc w:val="center"/>
              <w:rPr>
                <w:rFonts w:hint="default"/>
                <w:highlight w:val="none"/>
                <w:lang w:val="en-US" w:eastAsia="zh-CN"/>
              </w:rPr>
            </w:pPr>
            <w:r>
              <w:rPr>
                <w:rFonts w:hint="eastAsia"/>
                <w:highlight w:val="none"/>
                <w:lang w:val="en-US" w:eastAsia="zh-CN"/>
              </w:rPr>
              <w:t>预期性</w:t>
            </w:r>
          </w:p>
        </w:tc>
      </w:tr>
      <w:tr w14:paraId="4A2D9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6204600B">
            <w:pPr>
              <w:pStyle w:val="46"/>
              <w:ind w:left="7"/>
              <w:jc w:val="center"/>
              <w:rPr>
                <w:rFonts w:hint="default"/>
                <w:highlight w:val="none"/>
                <w:lang w:val="en-US" w:eastAsia="zh-CN"/>
              </w:rPr>
            </w:pPr>
            <w:r>
              <w:rPr>
                <w:rFonts w:hint="eastAsia"/>
                <w:highlight w:val="none"/>
                <w:lang w:val="en-US" w:eastAsia="zh-CN"/>
              </w:rPr>
              <w:t>22</w:t>
            </w:r>
          </w:p>
        </w:tc>
        <w:tc>
          <w:tcPr>
            <w:tcW w:w="725" w:type="dxa"/>
            <w:vMerge w:val="continue"/>
            <w:noWrap w:val="0"/>
            <w:vAlign w:val="center"/>
          </w:tcPr>
          <w:p w14:paraId="1B076BB1">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1E624849">
            <w:pPr>
              <w:pStyle w:val="46"/>
              <w:rPr>
                <w:rFonts w:hint="default"/>
                <w:highlight w:val="none"/>
                <w:lang w:val="en-US" w:eastAsia="zh-CN"/>
              </w:rPr>
            </w:pPr>
            <w:r>
              <w:rPr>
                <w:rFonts w:hint="eastAsia"/>
                <w:highlight w:val="none"/>
                <w:lang w:val="en-US" w:eastAsia="zh-CN"/>
              </w:rPr>
              <w:t>农村生活污水治理率（%）</w:t>
            </w:r>
          </w:p>
        </w:tc>
        <w:tc>
          <w:tcPr>
            <w:tcW w:w="1233" w:type="dxa"/>
            <w:shd w:val="clear" w:color="auto" w:fill="auto"/>
            <w:noWrap w:val="0"/>
            <w:vAlign w:val="center"/>
          </w:tcPr>
          <w:p w14:paraId="51A99FC2">
            <w:pPr>
              <w:pStyle w:val="46"/>
              <w:ind w:left="106" w:right="101"/>
              <w:jc w:val="center"/>
              <w:rPr>
                <w:rFonts w:hint="eastAsia"/>
                <w:highlight w:val="none"/>
                <w:lang w:val="en-US" w:eastAsia="zh-CN"/>
              </w:rPr>
            </w:pPr>
            <w:r>
              <w:rPr>
                <w:rFonts w:hint="eastAsia"/>
                <w:highlight w:val="none"/>
                <w:lang w:val="en-US" w:eastAsia="zh-CN"/>
              </w:rPr>
              <w:t>/</w:t>
            </w:r>
          </w:p>
        </w:tc>
        <w:tc>
          <w:tcPr>
            <w:tcW w:w="1308" w:type="dxa"/>
            <w:shd w:val="clear" w:color="auto" w:fill="auto"/>
            <w:noWrap w:val="0"/>
            <w:vAlign w:val="center"/>
          </w:tcPr>
          <w:p w14:paraId="6F111A80">
            <w:pPr>
              <w:pStyle w:val="46"/>
              <w:jc w:val="center"/>
              <w:rPr>
                <w:rFonts w:hint="eastAsia"/>
                <w:highlight w:val="none"/>
                <w:lang w:val="en-US" w:eastAsia="zh-CN"/>
              </w:rPr>
            </w:pPr>
            <w:r>
              <w:rPr>
                <w:rFonts w:hint="eastAsia"/>
                <w:highlight w:val="none"/>
                <w:lang w:val="en-US" w:eastAsia="zh-CN"/>
              </w:rPr>
              <w:t>/</w:t>
            </w:r>
          </w:p>
        </w:tc>
        <w:tc>
          <w:tcPr>
            <w:tcW w:w="1062" w:type="dxa"/>
            <w:noWrap w:val="0"/>
            <w:vAlign w:val="center"/>
          </w:tcPr>
          <w:p w14:paraId="7813EB15">
            <w:pPr>
              <w:pStyle w:val="46"/>
              <w:jc w:val="center"/>
              <w:rPr>
                <w:rFonts w:hint="default"/>
                <w:highlight w:val="none"/>
                <w:lang w:val="en-US" w:eastAsia="zh-CN"/>
              </w:rPr>
            </w:pPr>
            <w:r>
              <w:rPr>
                <w:rFonts w:hint="eastAsia"/>
                <w:highlight w:val="none"/>
                <w:lang w:val="en-US" w:eastAsia="zh-CN"/>
              </w:rPr>
              <w:t>预期性</w:t>
            </w:r>
          </w:p>
        </w:tc>
      </w:tr>
      <w:tr w14:paraId="3993B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jc w:val="center"/>
        </w:trPr>
        <w:tc>
          <w:tcPr>
            <w:tcW w:w="703" w:type="dxa"/>
            <w:tcBorders>
              <w:top w:val="single" w:color="auto" w:sz="4" w:space="0"/>
              <w:bottom w:val="single" w:color="auto" w:sz="4" w:space="0"/>
            </w:tcBorders>
            <w:noWrap w:val="0"/>
            <w:vAlign w:val="center"/>
          </w:tcPr>
          <w:p w14:paraId="2A7CF828">
            <w:pPr>
              <w:pStyle w:val="46"/>
              <w:ind w:left="7"/>
              <w:jc w:val="center"/>
              <w:rPr>
                <w:rFonts w:hint="default"/>
                <w:highlight w:val="none"/>
                <w:lang w:val="en-US" w:eastAsia="zh-CN"/>
              </w:rPr>
            </w:pPr>
            <w:r>
              <w:rPr>
                <w:rFonts w:hint="eastAsia"/>
                <w:highlight w:val="none"/>
                <w:lang w:val="en-US" w:eastAsia="zh-CN"/>
              </w:rPr>
              <w:t>23</w:t>
            </w:r>
          </w:p>
        </w:tc>
        <w:tc>
          <w:tcPr>
            <w:tcW w:w="725" w:type="dxa"/>
            <w:vMerge w:val="continue"/>
            <w:noWrap w:val="0"/>
            <w:vAlign w:val="center"/>
          </w:tcPr>
          <w:p w14:paraId="6153556E">
            <w:pPr>
              <w:pStyle w:val="46"/>
              <w:jc w:val="center"/>
              <w:rPr>
                <w:rFonts w:hint="eastAsia"/>
                <w:highlight w:val="none"/>
              </w:rPr>
            </w:pPr>
          </w:p>
        </w:tc>
        <w:tc>
          <w:tcPr>
            <w:tcW w:w="3493" w:type="dxa"/>
            <w:gridSpan w:val="2"/>
            <w:tcBorders>
              <w:top w:val="single" w:color="auto" w:sz="4" w:space="0"/>
              <w:bottom w:val="single" w:color="auto" w:sz="4" w:space="0"/>
            </w:tcBorders>
            <w:noWrap w:val="0"/>
            <w:vAlign w:val="center"/>
          </w:tcPr>
          <w:p w14:paraId="5C1528DF">
            <w:pPr>
              <w:pStyle w:val="46"/>
              <w:rPr>
                <w:rFonts w:hint="default"/>
                <w:highlight w:val="none"/>
                <w:lang w:val="en-US" w:eastAsia="zh-CN"/>
              </w:rPr>
            </w:pPr>
            <w:r>
              <w:rPr>
                <w:rFonts w:hint="eastAsia"/>
                <w:highlight w:val="none"/>
                <w:lang w:val="en-US" w:eastAsia="zh-CN"/>
              </w:rPr>
              <w:t>放射源辐射事故发生率（起/每万枚）</w:t>
            </w:r>
          </w:p>
        </w:tc>
        <w:tc>
          <w:tcPr>
            <w:tcW w:w="1233" w:type="dxa"/>
            <w:shd w:val="clear" w:color="auto" w:fill="auto"/>
            <w:noWrap w:val="0"/>
            <w:vAlign w:val="center"/>
          </w:tcPr>
          <w:p w14:paraId="2CC89E11">
            <w:pPr>
              <w:pStyle w:val="46"/>
              <w:ind w:left="106" w:right="101"/>
              <w:jc w:val="center"/>
              <w:rPr>
                <w:rFonts w:hint="default"/>
                <w:highlight w:val="none"/>
                <w:lang w:val="en-US" w:eastAsia="zh-CN"/>
              </w:rPr>
            </w:pPr>
            <w:r>
              <w:rPr>
                <w:rFonts w:hint="eastAsia"/>
                <w:highlight w:val="none"/>
                <w:lang w:val="en-US" w:eastAsia="zh-CN"/>
              </w:rPr>
              <w:t>/</w:t>
            </w:r>
          </w:p>
        </w:tc>
        <w:tc>
          <w:tcPr>
            <w:tcW w:w="1308" w:type="dxa"/>
            <w:shd w:val="clear" w:color="auto" w:fill="auto"/>
            <w:noWrap w:val="0"/>
            <w:vAlign w:val="center"/>
          </w:tcPr>
          <w:p w14:paraId="24D0F71F">
            <w:pPr>
              <w:pStyle w:val="46"/>
              <w:jc w:val="center"/>
              <w:rPr>
                <w:rFonts w:hint="default"/>
                <w:highlight w:val="none"/>
                <w:lang w:val="en-US" w:eastAsia="zh-CN"/>
              </w:rPr>
            </w:pPr>
            <w:r>
              <w:rPr>
                <w:rFonts w:hint="eastAsia"/>
                <w:highlight w:val="none"/>
                <w:lang w:val="en-US" w:eastAsia="zh-CN"/>
              </w:rPr>
              <w:t>/</w:t>
            </w:r>
          </w:p>
        </w:tc>
        <w:tc>
          <w:tcPr>
            <w:tcW w:w="1062" w:type="dxa"/>
            <w:noWrap w:val="0"/>
            <w:vAlign w:val="center"/>
          </w:tcPr>
          <w:p w14:paraId="0B74FA0A">
            <w:pPr>
              <w:pStyle w:val="46"/>
              <w:jc w:val="center"/>
              <w:rPr>
                <w:rFonts w:hint="default"/>
                <w:highlight w:val="none"/>
                <w:lang w:val="en-US" w:eastAsia="zh-CN"/>
              </w:rPr>
            </w:pPr>
            <w:r>
              <w:rPr>
                <w:rFonts w:hint="eastAsia"/>
                <w:highlight w:val="none"/>
                <w:lang w:val="en-US" w:eastAsia="zh-CN"/>
              </w:rPr>
              <w:t>预期性</w:t>
            </w:r>
          </w:p>
        </w:tc>
      </w:tr>
      <w:tr w14:paraId="156A1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9" w:hRule="atLeast"/>
          <w:jc w:val="center"/>
        </w:trPr>
        <w:tc>
          <w:tcPr>
            <w:tcW w:w="8524" w:type="dxa"/>
            <w:gridSpan w:val="7"/>
            <w:tcBorders>
              <w:top w:val="single" w:color="auto" w:sz="4" w:space="0"/>
            </w:tcBorders>
            <w:noWrap w:val="0"/>
            <w:vAlign w:val="center"/>
          </w:tcPr>
          <w:p w14:paraId="72F1F166">
            <w:pPr>
              <w:pStyle w:val="46"/>
              <w:spacing w:line="276" w:lineRule="exact"/>
              <w:ind w:firstLine="420" w:firstLineChars="200"/>
              <w:jc w:val="both"/>
              <w:rPr>
                <w:rFonts w:hint="eastAsia"/>
                <w:highlight w:val="none"/>
                <w:lang w:val="en-US" w:eastAsia="zh-CN"/>
              </w:rPr>
            </w:pPr>
            <w:r>
              <w:rPr>
                <w:rFonts w:hint="eastAsia"/>
                <w:highlight w:val="none"/>
              </w:rPr>
              <w:t>注：</w:t>
            </w:r>
            <w:r>
              <w:rPr>
                <w:rFonts w:hint="eastAsia"/>
                <w:highlight w:val="none"/>
                <w:lang w:val="en-US" w:eastAsia="zh-CN"/>
              </w:rPr>
              <w:t>1.“--”表示未统计该数据</w:t>
            </w:r>
          </w:p>
          <w:p w14:paraId="19889424">
            <w:pPr>
              <w:pStyle w:val="46"/>
              <w:ind w:firstLine="420" w:firstLineChars="200"/>
              <w:jc w:val="both"/>
              <w:rPr>
                <w:highlight w:val="none"/>
              </w:rPr>
            </w:pPr>
            <w:r>
              <w:rPr>
                <w:rFonts w:hint="eastAsia"/>
                <w:highlight w:val="none"/>
                <w:lang w:val="en-US" w:eastAsia="zh-CN"/>
              </w:rPr>
              <w:t>2.“/”表示暂不涉及该项工作</w:t>
            </w:r>
          </w:p>
        </w:tc>
      </w:tr>
    </w:tbl>
    <w:p w14:paraId="36F1052A">
      <w:pPr>
        <w:pStyle w:val="2"/>
        <w:ind w:firstLine="0" w:firstLineChars="0"/>
        <w:rPr>
          <w:highlight w:val="none"/>
        </w:rPr>
      </w:pPr>
    </w:p>
    <w:p w14:paraId="2E6E05DA">
      <w:pPr>
        <w:ind w:firstLine="640"/>
        <w:rPr>
          <w:highlight w:val="none"/>
        </w:rPr>
        <w:sectPr>
          <w:pgSz w:w="11906" w:h="16838"/>
          <w:pgMar w:top="1440" w:right="1800" w:bottom="1440" w:left="1800" w:header="851" w:footer="992" w:gutter="0"/>
          <w:pgNumType w:fmt="numberInDash"/>
          <w:cols w:space="425" w:num="1"/>
          <w:docGrid w:type="lines" w:linePitch="312" w:charSpace="0"/>
        </w:sectPr>
      </w:pPr>
    </w:p>
    <w:p w14:paraId="42183A3B">
      <w:pPr>
        <w:pStyle w:val="3"/>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221" w:name="_Toc17888"/>
      <w:bookmarkStart w:id="222" w:name="_Toc6589"/>
      <w:r>
        <w:rPr>
          <w:rFonts w:hint="eastAsia"/>
          <w:highlight w:val="none"/>
        </w:rPr>
        <w:t>强化绿色源头防控，</w:t>
      </w:r>
      <w:bookmarkEnd w:id="20"/>
      <w:r>
        <w:rPr>
          <w:rFonts w:hint="eastAsia"/>
          <w:highlight w:val="none"/>
        </w:rPr>
        <w:t>推动绿色低碳发展</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221"/>
      <w:bookmarkEnd w:id="222"/>
    </w:p>
    <w:p w14:paraId="0D669A8B">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223" w:name="_Toc9066"/>
      <w:bookmarkStart w:id="224" w:name="_Toc9475"/>
      <w:bookmarkStart w:id="225" w:name="_Toc4349"/>
      <w:bookmarkStart w:id="226" w:name="_Toc30204"/>
      <w:bookmarkStart w:id="227" w:name="_Toc14144"/>
      <w:bookmarkStart w:id="228" w:name="_Toc16986"/>
      <w:bookmarkStart w:id="229" w:name="_Toc88954784"/>
      <w:bookmarkStart w:id="230" w:name="_Toc17064"/>
      <w:bookmarkStart w:id="231" w:name="_Toc8343"/>
      <w:bookmarkStart w:id="232" w:name="_Toc13926"/>
      <w:bookmarkStart w:id="233" w:name="_Toc3449"/>
      <w:bookmarkStart w:id="234" w:name="_Toc20860"/>
      <w:bookmarkStart w:id="235" w:name="_Toc12263"/>
      <w:bookmarkStart w:id="236" w:name="_Toc88955327"/>
      <w:bookmarkStart w:id="237" w:name="_Toc25647"/>
      <w:bookmarkStart w:id="238" w:name="_Toc2295"/>
      <w:bookmarkStart w:id="239" w:name="_Toc23542"/>
      <w:bookmarkStart w:id="240" w:name="_Toc17573"/>
      <w:bookmarkStart w:id="241" w:name="_Toc9140"/>
      <w:bookmarkStart w:id="242" w:name="_Toc31476"/>
      <w:bookmarkStart w:id="243" w:name="_Toc20833"/>
      <w:bookmarkStart w:id="244" w:name="_Toc13289"/>
      <w:bookmarkStart w:id="245" w:name="_Toc17169"/>
      <w:bookmarkStart w:id="246" w:name="_Toc14547"/>
      <w:bookmarkStart w:id="247" w:name="_Toc4933"/>
      <w:bookmarkStart w:id="248" w:name="_Toc10111"/>
      <w:bookmarkStart w:id="249" w:name="_Toc26898"/>
      <w:bookmarkStart w:id="250" w:name="_Toc26158"/>
      <w:r>
        <w:rPr>
          <w:rFonts w:hint="eastAsia"/>
          <w:highlight w:val="none"/>
        </w:rPr>
        <w:t>建立国土空间开发新格局</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16A1AC1D">
      <w:pPr>
        <w:pStyle w:val="17"/>
        <w:spacing w:before="156" w:beforeLines="50" w:after="10"/>
        <w:ind w:firstLine="640"/>
        <w:rPr>
          <w:rFonts w:cs="Times New Roman"/>
          <w:szCs w:val="32"/>
          <w:highlight w:val="none"/>
        </w:rPr>
      </w:pPr>
      <w:r>
        <w:rPr>
          <w:rFonts w:cs="Times New Roman"/>
          <w:szCs w:val="32"/>
          <w:highlight w:val="none"/>
        </w:rPr>
        <w:t>严格落实国家</w:t>
      </w:r>
      <w:r>
        <w:rPr>
          <w:rFonts w:hint="eastAsia" w:cs="Times New Roman"/>
          <w:szCs w:val="32"/>
          <w:highlight w:val="none"/>
        </w:rPr>
        <w:t>、</w:t>
      </w:r>
      <w:r>
        <w:rPr>
          <w:rFonts w:cs="Times New Roman"/>
          <w:szCs w:val="32"/>
          <w:highlight w:val="none"/>
        </w:rPr>
        <w:t>自治区</w:t>
      </w:r>
      <w:r>
        <w:rPr>
          <w:rFonts w:hint="eastAsia" w:cs="Times New Roman"/>
          <w:szCs w:val="32"/>
          <w:highlight w:val="none"/>
        </w:rPr>
        <w:t>和呼伦贝尔市</w:t>
      </w:r>
      <w:r>
        <w:rPr>
          <w:rFonts w:cs="Times New Roman"/>
          <w:szCs w:val="32"/>
          <w:highlight w:val="none"/>
        </w:rPr>
        <w:t>主体功能区战略，科学构建建成区生态、生产、生活三大空间，形成主体功能定位清晰、国土空间高效利用、人与自然和谐相处的国土空间开发新格局。强化国土空间用途管制，坚持底线思维，把生态空间和生态保护红线、城镇开发边界作为调整经济结构、规划产业发展、推进城镇化不可逾越的红线。</w:t>
      </w:r>
      <w:r>
        <w:rPr>
          <w:rFonts w:cs="Times New Roman"/>
          <w:color w:val="000000"/>
          <w:szCs w:val="32"/>
          <w:highlight w:val="none"/>
        </w:rPr>
        <w:t>按照上级划定的生态红线范围严格管控，进一步推动违法违规侵占生态空间活动的退出和修复；严格控制城镇开发边界防止城镇无序扩张，加大城镇生态系统保护修复力度，</w:t>
      </w:r>
      <w:r>
        <w:rPr>
          <w:rFonts w:cs="Times New Roman"/>
          <w:szCs w:val="32"/>
          <w:highlight w:val="none"/>
        </w:rPr>
        <w:t>增强绿地生态功能</w:t>
      </w:r>
      <w:r>
        <w:rPr>
          <w:rFonts w:hint="eastAsia" w:cs="Times New Roman"/>
          <w:szCs w:val="32"/>
          <w:highlight w:val="none"/>
          <w:lang w:eastAsia="zh-CN"/>
        </w:rPr>
        <w:t>，</w:t>
      </w:r>
      <w:r>
        <w:rPr>
          <w:rFonts w:cs="Times New Roman"/>
          <w:color w:val="000000"/>
          <w:szCs w:val="32"/>
          <w:highlight w:val="none"/>
        </w:rPr>
        <w:t>优化建成区绿地</w:t>
      </w:r>
      <w:r>
        <w:rPr>
          <w:rFonts w:cs="Times New Roman"/>
          <w:szCs w:val="32"/>
          <w:highlight w:val="none"/>
        </w:rPr>
        <w:t>格局。</w:t>
      </w:r>
    </w:p>
    <w:p w14:paraId="1EE19349">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251" w:name="_Toc7814"/>
      <w:bookmarkStart w:id="252" w:name="_Toc24402"/>
      <w:bookmarkStart w:id="253" w:name="_Toc1008"/>
      <w:bookmarkStart w:id="254" w:name="_Toc28020"/>
      <w:bookmarkStart w:id="255" w:name="_Toc13563"/>
      <w:bookmarkStart w:id="256" w:name="_Toc17597"/>
      <w:bookmarkStart w:id="257" w:name="_Toc17790"/>
      <w:bookmarkStart w:id="258" w:name="_Toc21936"/>
      <w:bookmarkStart w:id="259" w:name="_Toc27572"/>
      <w:bookmarkStart w:id="260" w:name="_Toc23215"/>
      <w:bookmarkStart w:id="261" w:name="_Toc31939"/>
      <w:bookmarkStart w:id="262" w:name="_Toc20605"/>
      <w:bookmarkStart w:id="263" w:name="_Toc6779"/>
      <w:bookmarkStart w:id="264" w:name="_Toc15496"/>
      <w:bookmarkStart w:id="265" w:name="_Toc13896"/>
      <w:bookmarkStart w:id="266" w:name="_Toc88955328"/>
      <w:bookmarkStart w:id="267" w:name="_Toc23669"/>
      <w:bookmarkStart w:id="268" w:name="_Toc15510"/>
      <w:bookmarkStart w:id="269" w:name="_Toc6832"/>
      <w:bookmarkStart w:id="270" w:name="_Toc5865"/>
      <w:bookmarkStart w:id="271" w:name="_Toc20563"/>
      <w:bookmarkStart w:id="272" w:name="_Toc4213"/>
      <w:bookmarkStart w:id="273" w:name="_Toc31818"/>
      <w:bookmarkStart w:id="274" w:name="_Toc23603"/>
      <w:bookmarkStart w:id="275" w:name="_Toc1439"/>
      <w:bookmarkStart w:id="276" w:name="_Toc6334"/>
      <w:bookmarkStart w:id="277" w:name="_Toc88954785"/>
      <w:bookmarkStart w:id="278" w:name="_Toc19576"/>
      <w:r>
        <w:rPr>
          <w:rFonts w:hint="eastAsia"/>
          <w:highlight w:val="none"/>
          <w:lang w:val="en-US" w:eastAsia="zh-CN"/>
        </w:rPr>
        <w:t>全面</w:t>
      </w:r>
      <w:r>
        <w:rPr>
          <w:rFonts w:hint="eastAsia"/>
          <w:highlight w:val="none"/>
        </w:rPr>
        <w:t>落实生态环境分区管控</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B8E0534">
      <w:pPr>
        <w:pStyle w:val="17"/>
        <w:spacing w:before="156" w:beforeLines="50" w:after="10"/>
        <w:ind w:firstLine="640"/>
        <w:rPr>
          <w:rFonts w:cs="Times New Roman"/>
          <w:szCs w:val="32"/>
          <w:highlight w:val="none"/>
        </w:rPr>
      </w:pPr>
      <w:r>
        <w:rPr>
          <w:rFonts w:hint="eastAsia" w:cs="Times New Roman"/>
          <w:szCs w:val="32"/>
          <w:highlight w:val="none"/>
        </w:rPr>
        <w:t>根据呼伦贝尔市环境管控单元划定结果，扎赉诺尔区共划定9个环境管控单元，优先管控单元2个，面积为52.05km</w:t>
      </w:r>
      <w:r>
        <w:rPr>
          <w:rFonts w:cs="Times New Roman"/>
          <w:szCs w:val="32"/>
          <w:highlight w:val="none"/>
          <w:vertAlign w:val="superscript"/>
        </w:rPr>
        <w:t>2</w:t>
      </w:r>
      <w:r>
        <w:rPr>
          <w:rFonts w:hint="eastAsia" w:cs="Times New Roman"/>
          <w:szCs w:val="32"/>
          <w:highlight w:val="none"/>
        </w:rPr>
        <w:t>，重点管控单元7个，面积为217.95km</w:t>
      </w:r>
      <w:r>
        <w:rPr>
          <w:rFonts w:hint="eastAsia" w:cs="Times New Roman"/>
          <w:szCs w:val="32"/>
          <w:highlight w:val="none"/>
          <w:vertAlign w:val="superscript"/>
        </w:rPr>
        <w:t>2</w:t>
      </w:r>
      <w:r>
        <w:rPr>
          <w:rFonts w:hint="eastAsia" w:cs="Times New Roman"/>
          <w:szCs w:val="32"/>
          <w:highlight w:val="none"/>
        </w:rPr>
        <w:t>，无一般管控单元。其中，大气优先管控区1个，面积26.93km</w:t>
      </w:r>
      <w:r>
        <w:rPr>
          <w:rFonts w:hint="eastAsia" w:cs="Times New Roman"/>
          <w:szCs w:val="32"/>
          <w:highlight w:val="none"/>
          <w:vertAlign w:val="superscript"/>
        </w:rPr>
        <w:t>2</w:t>
      </w:r>
      <w:r>
        <w:rPr>
          <w:rFonts w:hint="eastAsia" w:cs="Times New Roman"/>
          <w:szCs w:val="32"/>
          <w:highlight w:val="none"/>
        </w:rPr>
        <w:t>，大气重点管控区3个（受体敏感区1个，高排放区2个），面积242.24km</w:t>
      </w:r>
      <w:r>
        <w:rPr>
          <w:rFonts w:hint="eastAsia" w:cs="Times New Roman"/>
          <w:szCs w:val="32"/>
          <w:highlight w:val="none"/>
          <w:vertAlign w:val="superscript"/>
        </w:rPr>
        <w:t>2</w:t>
      </w:r>
      <w:r>
        <w:rPr>
          <w:rFonts w:hint="eastAsia" w:cs="Times New Roman"/>
          <w:szCs w:val="32"/>
          <w:highlight w:val="none"/>
        </w:rPr>
        <w:t>，大气一般管控区1个，面积0.48km</w:t>
      </w:r>
      <w:r>
        <w:rPr>
          <w:rFonts w:hint="eastAsia" w:cs="Times New Roman"/>
          <w:szCs w:val="32"/>
          <w:highlight w:val="none"/>
          <w:vertAlign w:val="superscript"/>
        </w:rPr>
        <w:t>2</w:t>
      </w:r>
      <w:r>
        <w:rPr>
          <w:rFonts w:hint="eastAsia" w:cs="Times New Roman"/>
          <w:szCs w:val="32"/>
          <w:highlight w:val="none"/>
        </w:rPr>
        <w:t>；水环境重点管控区1个，面积32.53km</w:t>
      </w:r>
      <w:r>
        <w:rPr>
          <w:rFonts w:hint="eastAsia" w:cs="Times New Roman"/>
          <w:szCs w:val="32"/>
          <w:highlight w:val="none"/>
          <w:vertAlign w:val="superscript"/>
        </w:rPr>
        <w:t>2</w:t>
      </w:r>
      <w:r>
        <w:rPr>
          <w:rFonts w:hint="eastAsia" w:cs="Times New Roman"/>
          <w:szCs w:val="32"/>
          <w:highlight w:val="none"/>
        </w:rPr>
        <w:t>，水环境一般管控区1个，面积237.12km</w:t>
      </w:r>
      <w:r>
        <w:rPr>
          <w:rFonts w:hint="eastAsia" w:cs="Times New Roman"/>
          <w:szCs w:val="32"/>
          <w:highlight w:val="none"/>
          <w:vertAlign w:val="superscript"/>
        </w:rPr>
        <w:t>2</w:t>
      </w:r>
      <w:r>
        <w:rPr>
          <w:rFonts w:hint="eastAsia" w:cs="Times New Roman"/>
          <w:szCs w:val="32"/>
          <w:highlight w:val="none"/>
        </w:rPr>
        <w:t>。全面落实“三线一单”（生态保护红线、环境质量底线、资源利用上线、生态环境准入清单）生态环境分区管控，</w:t>
      </w:r>
      <w:r>
        <w:rPr>
          <w:rFonts w:hint="eastAsia" w:cs="Times New Roman"/>
          <w:szCs w:val="32"/>
          <w:highlight w:val="none"/>
          <w:lang w:val="en-US" w:eastAsia="zh-CN"/>
        </w:rPr>
        <w:t>对环境管控单元按照优先保护、重点管控实施分类管控。严格按照国家和自治区主体功能区规划功能定位，落实国土空间用途管制，约束不符合主体功能区定位的开发行为。按照上级部署不断健全环境影响评价等生态环境源头预防体系，充分发挥规划环评对区域生产力布局的指导和规范作用，从空间布局约束、污染物排放管控、环境风险防控、资源开发效率等方面，提出优布局、调结构、控规模、保功能等调控策略及环境治理要求，为产业结构优化调整提供科学依据。</w:t>
      </w:r>
    </w:p>
    <w:p w14:paraId="29855984">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279" w:name="_Toc88955329"/>
      <w:bookmarkStart w:id="280" w:name="_Toc24775"/>
      <w:bookmarkStart w:id="281" w:name="_Toc23587"/>
      <w:bookmarkStart w:id="282" w:name="_Toc2038"/>
      <w:bookmarkStart w:id="283" w:name="_Toc30036"/>
      <w:bookmarkStart w:id="284" w:name="_Toc11590"/>
      <w:bookmarkStart w:id="285" w:name="_Toc23876"/>
      <w:bookmarkStart w:id="286" w:name="_Toc11151"/>
      <w:bookmarkStart w:id="287" w:name="_Toc18889"/>
      <w:bookmarkStart w:id="288" w:name="_Toc6329"/>
      <w:bookmarkStart w:id="289" w:name="_Toc392"/>
      <w:bookmarkStart w:id="290" w:name="_Toc28655"/>
      <w:bookmarkStart w:id="291" w:name="_Toc31122"/>
      <w:bookmarkStart w:id="292" w:name="_Toc1777"/>
      <w:bookmarkStart w:id="293" w:name="_Toc27898"/>
      <w:bookmarkStart w:id="294" w:name="_Toc31957"/>
      <w:bookmarkStart w:id="295" w:name="_Toc16319"/>
      <w:bookmarkStart w:id="296" w:name="_Toc17847"/>
      <w:bookmarkStart w:id="297" w:name="_Toc30883"/>
      <w:bookmarkStart w:id="298" w:name="_Toc7230"/>
      <w:bookmarkStart w:id="299" w:name="_Toc3338"/>
      <w:bookmarkStart w:id="300" w:name="_Toc27061"/>
      <w:bookmarkStart w:id="301" w:name="_Toc22700"/>
      <w:bookmarkStart w:id="302" w:name="_Toc2840"/>
      <w:bookmarkStart w:id="303" w:name="_Toc88954786"/>
      <w:bookmarkStart w:id="304" w:name="_Toc18609"/>
      <w:bookmarkStart w:id="305" w:name="_Toc8937"/>
      <w:bookmarkStart w:id="306" w:name="_Toc3874"/>
      <w:bookmarkStart w:id="307" w:name="_Toc18855"/>
      <w:r>
        <w:rPr>
          <w:rFonts w:hint="eastAsia"/>
          <w:highlight w:val="none"/>
        </w:rPr>
        <w:t>大力发展绿色产业体系</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11270E6">
      <w:pPr>
        <w:ind w:firstLine="640"/>
        <w:jc w:val="left"/>
        <w:rPr>
          <w:rFonts w:ascii="仿宋_GB2312" w:hAnsi="仿宋_GB2312" w:cs="仿宋_GB2312"/>
          <w:highlight w:val="none"/>
        </w:rPr>
      </w:pPr>
      <w:bookmarkStart w:id="308" w:name="_Toc14683"/>
      <w:r>
        <w:rPr>
          <w:rFonts w:ascii="仿宋_GB2312" w:hAnsi="仿宋_GB2312" w:cs="仿宋_GB2312"/>
          <w:highlight w:val="none"/>
        </w:rPr>
        <w:t>全面推动</w:t>
      </w:r>
      <w:r>
        <w:rPr>
          <w:rFonts w:hint="eastAsia" w:ascii="仿宋_GB2312" w:hAnsi="仿宋_GB2312" w:cs="仿宋_GB2312"/>
          <w:highlight w:val="none"/>
        </w:rPr>
        <w:t>区内</w:t>
      </w:r>
      <w:r>
        <w:rPr>
          <w:rFonts w:ascii="仿宋_GB2312" w:hAnsi="仿宋_GB2312" w:cs="仿宋_GB2312"/>
          <w:highlight w:val="none"/>
        </w:rPr>
        <w:t>资源型产业的绿色转型，强化能源资源、水资源消耗等总量和强度双控，紧紧围绕提升园区资源利用效率和清洁生产水平，以促进全产业链和产品全生命周期绿色发展为目标，</w:t>
      </w:r>
      <w:r>
        <w:rPr>
          <w:rFonts w:ascii="仿宋_GB2312" w:hAnsi="仿宋_GB2312" w:cs="仿宋_GB2312"/>
          <w:color w:val="000000"/>
          <w:szCs w:val="32"/>
          <w:highlight w:val="none"/>
        </w:rPr>
        <w:t>放大和发挥绿色生态优势，</w:t>
      </w:r>
      <w:r>
        <w:rPr>
          <w:rFonts w:ascii="仿宋_GB2312" w:hAnsi="仿宋_GB2312" w:cs="仿宋_GB2312"/>
          <w:highlight w:val="none"/>
        </w:rPr>
        <w:t>突出</w:t>
      </w:r>
      <w:r>
        <w:rPr>
          <w:rFonts w:hint="eastAsia" w:ascii="仿宋_GB2312" w:hAnsi="仿宋_GB2312" w:cs="仿宋_GB2312"/>
          <w:highlight w:val="none"/>
        </w:rPr>
        <w:t>区内当地</w:t>
      </w:r>
      <w:r>
        <w:rPr>
          <w:rFonts w:ascii="仿宋_GB2312" w:hAnsi="仿宋_GB2312" w:cs="仿宋_GB2312"/>
          <w:highlight w:val="none"/>
        </w:rPr>
        <w:t>资源禀赋，</w:t>
      </w:r>
      <w:r>
        <w:rPr>
          <w:rFonts w:hint="eastAsia" w:ascii="仿宋_GB2312" w:hAnsi="仿宋_GB2312" w:cs="仿宋_GB2312"/>
          <w:color w:val="000000"/>
          <w:szCs w:val="32"/>
          <w:highlight w:val="none"/>
          <w:lang w:val="en-US" w:eastAsia="zh-CN"/>
        </w:rPr>
        <w:t>着力</w:t>
      </w:r>
      <w:r>
        <w:rPr>
          <w:rFonts w:ascii="仿宋_GB2312" w:hAnsi="仿宋_GB2312" w:cs="仿宋_GB2312"/>
          <w:color w:val="000000"/>
          <w:szCs w:val="32"/>
          <w:highlight w:val="none"/>
        </w:rPr>
        <w:t>构建绿色产业体系</w:t>
      </w:r>
      <w:r>
        <w:rPr>
          <w:rFonts w:hint="eastAsia" w:ascii="仿宋_GB2312" w:hAnsi="仿宋_GB2312" w:cs="仿宋_GB2312"/>
          <w:color w:val="000000"/>
          <w:szCs w:val="32"/>
          <w:highlight w:val="none"/>
        </w:rPr>
        <w:t>，</w:t>
      </w:r>
      <w:r>
        <w:rPr>
          <w:rFonts w:ascii="仿宋_GB2312" w:hAnsi="仿宋_GB2312" w:cs="仿宋_GB2312"/>
          <w:highlight w:val="none"/>
        </w:rPr>
        <w:t>提升生态产品输出能力，增强地区经济发展后劲。</w:t>
      </w:r>
      <w:r>
        <w:rPr>
          <w:rFonts w:hint="eastAsia" w:ascii="仿宋_GB2312" w:hAnsi="仿宋_GB2312" w:cs="仿宋_GB2312"/>
          <w:highlight w:val="none"/>
        </w:rPr>
        <w:t>以产品认证、评估审计、咨询服务等为重点方向,促进服务业绿色发展;</w:t>
      </w:r>
      <w:r>
        <w:rPr>
          <w:rFonts w:ascii="仿宋_GB2312" w:hAnsi="仿宋_GB2312" w:cs="仿宋_GB2312"/>
          <w:color w:val="000000"/>
          <w:highlight w:val="none"/>
        </w:rPr>
        <w:t>以生态、绿色、低碳为引领，引进先进经营理念和管理模式，优化配置交通、城建、商住、物流、餐饮各类资源要素，构建与新业态相配套的低碳型服务业</w:t>
      </w:r>
      <w:r>
        <w:rPr>
          <w:rFonts w:ascii="仿宋_GB2312" w:hAnsi="仿宋_GB2312" w:cs="仿宋_GB2312"/>
          <w:highlight w:val="none"/>
        </w:rPr>
        <w:t>。</w:t>
      </w:r>
      <w:bookmarkEnd w:id="308"/>
    </w:p>
    <w:p w14:paraId="07621B78">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309" w:name="_Toc27650"/>
      <w:bookmarkStart w:id="310" w:name="_Toc2539"/>
      <w:bookmarkStart w:id="311" w:name="_Toc29422"/>
      <w:bookmarkStart w:id="312" w:name="_Toc18106"/>
      <w:bookmarkStart w:id="313" w:name="_Toc24070"/>
      <w:bookmarkStart w:id="314" w:name="_Toc28429"/>
      <w:bookmarkStart w:id="315" w:name="_Toc5462"/>
      <w:bookmarkStart w:id="316" w:name="_Toc19233"/>
      <w:bookmarkStart w:id="317" w:name="_Toc1741"/>
      <w:bookmarkStart w:id="318" w:name="_Toc21932"/>
      <w:bookmarkStart w:id="319" w:name="_Toc24839"/>
      <w:bookmarkStart w:id="320" w:name="_Toc28300"/>
      <w:bookmarkStart w:id="321" w:name="_Toc21204"/>
      <w:bookmarkStart w:id="322" w:name="_Toc488"/>
      <w:bookmarkStart w:id="323" w:name="_Toc20330"/>
      <w:bookmarkStart w:id="324" w:name="_Toc24619"/>
      <w:bookmarkStart w:id="325" w:name="_Toc21975"/>
      <w:bookmarkStart w:id="326" w:name="_Toc26556"/>
      <w:bookmarkStart w:id="327" w:name="_Toc3731"/>
      <w:bookmarkStart w:id="328" w:name="_Toc32195"/>
      <w:bookmarkStart w:id="329" w:name="_Toc7819"/>
      <w:bookmarkStart w:id="330" w:name="_Toc22112"/>
      <w:bookmarkStart w:id="331" w:name="_Toc1484"/>
      <w:bookmarkStart w:id="332" w:name="_Toc88954788"/>
      <w:bookmarkStart w:id="333" w:name="_Toc23668"/>
      <w:bookmarkStart w:id="334" w:name="_Toc2356"/>
      <w:bookmarkStart w:id="335" w:name="_Toc88955331"/>
      <w:bookmarkStart w:id="336" w:name="_Toc28663"/>
      <w:r>
        <w:rPr>
          <w:rFonts w:hint="eastAsia"/>
          <w:highlight w:val="none"/>
        </w:rPr>
        <w:t>加快产业结构升级</w:t>
      </w:r>
      <w:bookmarkEnd w:id="307"/>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0B9AF62">
      <w:pPr>
        <w:ind w:firstLine="640"/>
        <w:jc w:val="left"/>
        <w:rPr>
          <w:rFonts w:hint="default" w:ascii="仿宋_GB2312" w:hAnsi="仿宋_GB2312" w:eastAsia="仿宋_GB2312" w:cs="仿宋_GB2312"/>
          <w:highlight w:val="none"/>
          <w:lang w:val="en-US" w:eastAsia="zh-CN"/>
        </w:rPr>
      </w:pPr>
      <w:bookmarkStart w:id="337" w:name="_Toc29335"/>
      <w:bookmarkStart w:id="338" w:name="_Toc4221"/>
      <w:bookmarkStart w:id="339" w:name="_Toc27200"/>
      <w:bookmarkStart w:id="340" w:name="_Toc10904"/>
      <w:bookmarkStart w:id="341" w:name="_Toc88955332"/>
      <w:bookmarkStart w:id="342" w:name="_Toc3525"/>
      <w:bookmarkStart w:id="343" w:name="_Toc32337"/>
      <w:bookmarkStart w:id="344" w:name="_Toc23933"/>
      <w:bookmarkStart w:id="345" w:name="_Toc2856"/>
      <w:bookmarkStart w:id="346" w:name="_Toc20681"/>
      <w:bookmarkStart w:id="347" w:name="_Toc9127"/>
      <w:bookmarkStart w:id="348" w:name="_Toc5882"/>
      <w:bookmarkStart w:id="349" w:name="_Toc17685"/>
      <w:bookmarkStart w:id="350" w:name="_Toc11733"/>
      <w:bookmarkStart w:id="351" w:name="_Toc1158"/>
      <w:bookmarkStart w:id="352" w:name="_Toc28172"/>
      <w:bookmarkStart w:id="353" w:name="_Toc25513"/>
      <w:bookmarkStart w:id="354" w:name="_Toc32669"/>
      <w:bookmarkStart w:id="355" w:name="_Toc5053"/>
      <w:bookmarkStart w:id="356" w:name="_Toc28288"/>
      <w:bookmarkStart w:id="357" w:name="_Toc2073"/>
      <w:bookmarkStart w:id="358" w:name="_Toc88954789"/>
      <w:bookmarkStart w:id="359" w:name="_Toc3454"/>
      <w:r>
        <w:rPr>
          <w:rFonts w:hint="default" w:ascii="仿宋_GB2312" w:hAnsi="仿宋_GB2312" w:cs="仿宋_GB2312"/>
          <w:highlight w:val="none"/>
        </w:rPr>
        <w:t>严格准入条件</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Pr>
          <w:rFonts w:hint="eastAsia" w:ascii="仿宋_GB2312" w:hAnsi="仿宋_GB2312" w:cs="仿宋_GB2312"/>
          <w:highlight w:val="none"/>
          <w:lang w:eastAsia="zh-CN"/>
        </w:rPr>
        <w:t>。</w:t>
      </w:r>
      <w:r>
        <w:rPr>
          <w:rFonts w:hint="eastAsia" w:ascii="仿宋_GB2312" w:hAnsi="仿宋_GB2312" w:cs="仿宋_GB2312"/>
          <w:highlight w:val="none"/>
          <w:lang w:val="en-US" w:eastAsia="zh-CN"/>
        </w:rPr>
        <w:t>以实现</w:t>
      </w:r>
      <w:r>
        <w:rPr>
          <w:rFonts w:ascii="仿宋_GB2312" w:hAnsi="仿宋_GB2312" w:cs="仿宋_GB2312"/>
          <w:highlight w:val="none"/>
        </w:rPr>
        <w:t>碳达峰碳中和</w:t>
      </w:r>
      <w:r>
        <w:rPr>
          <w:rFonts w:hint="eastAsia" w:ascii="仿宋_GB2312" w:hAnsi="仿宋_GB2312" w:cs="仿宋_GB2312"/>
          <w:highlight w:val="none"/>
          <w:lang w:val="en-US" w:eastAsia="zh-CN"/>
        </w:rPr>
        <w:t>为目标导向</w:t>
      </w:r>
      <w:r>
        <w:rPr>
          <w:rFonts w:ascii="仿宋_GB2312" w:hAnsi="仿宋_GB2312" w:cs="仿宋_GB2312"/>
          <w:highlight w:val="none"/>
        </w:rPr>
        <w:t>，</w:t>
      </w:r>
      <w:r>
        <w:rPr>
          <w:rFonts w:hint="eastAsia" w:ascii="仿宋_GB2312" w:hAnsi="仿宋_GB2312" w:cs="仿宋_GB2312"/>
          <w:highlight w:val="none"/>
          <w:lang w:val="en-US" w:eastAsia="zh-CN"/>
        </w:rPr>
        <w:t>严格落实呼伦贝尔市碳达峰行动方案，</w:t>
      </w:r>
      <w:r>
        <w:rPr>
          <w:rFonts w:hint="eastAsia" w:ascii="仿宋_GB2312" w:hAnsi="仿宋_GB2312" w:cs="仿宋_GB2312"/>
          <w:highlight w:val="none"/>
        </w:rPr>
        <w:t>坚决控制区内</w:t>
      </w:r>
      <w:r>
        <w:rPr>
          <w:rFonts w:ascii="仿宋_GB2312" w:hAnsi="仿宋_GB2312" w:cs="仿宋_GB2312"/>
          <w:highlight w:val="none"/>
        </w:rPr>
        <w:t>高耗能</w:t>
      </w:r>
      <w:r>
        <w:rPr>
          <w:rFonts w:hint="eastAsia" w:ascii="仿宋_GB2312" w:hAnsi="仿宋_GB2312" w:cs="仿宋_GB2312"/>
          <w:highlight w:val="none"/>
          <w:lang w:val="en-US" w:eastAsia="zh-CN"/>
        </w:rPr>
        <w:t>产业盲目发展和低水平重复建设</w:t>
      </w:r>
      <w:r>
        <w:rPr>
          <w:rFonts w:ascii="仿宋_GB2312" w:hAnsi="仿宋_GB2312" w:cs="仿宋_GB2312"/>
          <w:highlight w:val="none"/>
        </w:rPr>
        <w:t>，</w:t>
      </w:r>
      <w:r>
        <w:rPr>
          <w:rFonts w:hint="eastAsia" w:ascii="仿宋_GB2312" w:hAnsi="仿宋_GB2312" w:cs="仿宋_GB2312"/>
          <w:highlight w:val="none"/>
          <w:lang w:val="en-US" w:eastAsia="zh-CN"/>
        </w:rPr>
        <w:t>从严控制区内存量高耗能企业新增用能，从严控制新建高耗能项目审批，合理安排新建成高耗能项目投产时序。</w:t>
      </w:r>
      <w:r>
        <w:rPr>
          <w:rFonts w:ascii="仿宋_GB2312" w:hAnsi="仿宋_GB2312" w:cs="仿宋_GB2312"/>
          <w:color w:val="000000"/>
          <w:highlight w:val="none"/>
        </w:rPr>
        <w:t>提高新建项目节能环保准入标准，</w:t>
      </w:r>
      <w:r>
        <w:rPr>
          <w:rFonts w:hint="eastAsia" w:ascii="仿宋_GB2312" w:hAnsi="仿宋_GB2312" w:cs="仿宋_GB2312"/>
          <w:color w:val="000000"/>
          <w:highlight w:val="none"/>
          <w:lang w:val="en-US" w:eastAsia="zh-CN"/>
        </w:rPr>
        <w:t>除煤制油气外的</w:t>
      </w:r>
      <w:r>
        <w:rPr>
          <w:rFonts w:ascii="仿宋_GB2312" w:hAnsi="仿宋_GB2312" w:cs="仿宋_GB2312"/>
          <w:color w:val="000000"/>
          <w:highlight w:val="none"/>
        </w:rPr>
        <w:t>新建高耗能项目</w:t>
      </w:r>
      <w:r>
        <w:rPr>
          <w:rFonts w:ascii="仿宋_GB2312" w:hAnsi="仿宋_GB2312" w:cs="仿宋_GB2312"/>
          <w:highlight w:val="none"/>
        </w:rPr>
        <w:t>工艺</w:t>
      </w:r>
      <w:r>
        <w:rPr>
          <w:rFonts w:hint="eastAsia" w:ascii="仿宋_GB2312" w:hAnsi="仿宋_GB2312" w:cs="仿宋_GB2312"/>
          <w:highlight w:val="none"/>
          <w:lang w:val="en-US" w:eastAsia="zh-CN"/>
        </w:rPr>
        <w:t>和</w:t>
      </w:r>
      <w:r>
        <w:rPr>
          <w:rFonts w:ascii="仿宋_GB2312" w:hAnsi="仿宋_GB2312" w:cs="仿宋_GB2312"/>
          <w:highlight w:val="none"/>
        </w:rPr>
        <w:t>技术装备、能效水平、治理水平等须</w:t>
      </w:r>
      <w:r>
        <w:rPr>
          <w:rFonts w:hint="eastAsia" w:ascii="仿宋_GB2312" w:hAnsi="黑体" w:cs="Times New Roman"/>
          <w:bCs/>
          <w:szCs w:val="32"/>
          <w:highlight w:val="none"/>
        </w:rPr>
        <w:t>达到</w:t>
      </w:r>
      <w:r>
        <w:rPr>
          <w:rFonts w:ascii="仿宋_GB2312" w:hAnsi="仿宋_GB2312" w:cs="仿宋_GB2312"/>
          <w:highlight w:val="none"/>
        </w:rPr>
        <w:t>先进水平。</w:t>
      </w:r>
      <w:r>
        <w:rPr>
          <w:rFonts w:hint="eastAsia" w:ascii="仿宋_GB2312" w:hAnsi="仿宋_GB2312" w:cs="仿宋_GB2312"/>
          <w:highlight w:val="none"/>
          <w:lang w:val="en-US" w:eastAsia="zh-CN"/>
        </w:rPr>
        <w:t>加大重点行业生产全过程管理，提高行业清洁生产能力。</w:t>
      </w:r>
    </w:p>
    <w:p w14:paraId="1ED95773">
      <w:pPr>
        <w:ind w:firstLine="640"/>
        <w:rPr>
          <w:rFonts w:ascii="仿宋_GB2312" w:hAnsi="仿宋_GB2312" w:cs="仿宋_GB2312"/>
          <w:highlight w:val="none"/>
        </w:rPr>
      </w:pPr>
      <w:bookmarkStart w:id="360" w:name="_Toc3140"/>
      <w:bookmarkStart w:id="361" w:name="_Toc19861"/>
      <w:bookmarkStart w:id="362" w:name="_Toc12211"/>
      <w:bookmarkStart w:id="363" w:name="_Toc1662"/>
      <w:bookmarkStart w:id="364" w:name="_Toc6383"/>
      <w:bookmarkStart w:id="365" w:name="_Toc21356"/>
      <w:bookmarkStart w:id="366" w:name="_Toc449"/>
      <w:bookmarkStart w:id="367" w:name="_Toc29595"/>
      <w:bookmarkStart w:id="368" w:name="_Toc88954790"/>
      <w:bookmarkStart w:id="369" w:name="_Toc9296"/>
      <w:bookmarkStart w:id="370" w:name="_Toc4735"/>
      <w:bookmarkStart w:id="371" w:name="_Toc3363"/>
      <w:bookmarkStart w:id="372" w:name="_Toc19470"/>
      <w:bookmarkStart w:id="373" w:name="_Toc88955333"/>
      <w:bookmarkStart w:id="374" w:name="_Toc10083"/>
      <w:bookmarkStart w:id="375" w:name="_Toc13092"/>
      <w:bookmarkStart w:id="376" w:name="_Toc11143"/>
      <w:bookmarkStart w:id="377" w:name="_Toc18190"/>
      <w:bookmarkStart w:id="378" w:name="_Toc5128"/>
      <w:bookmarkStart w:id="379" w:name="_Toc8097"/>
      <w:bookmarkStart w:id="380" w:name="_Toc11317"/>
      <w:bookmarkStart w:id="381" w:name="_Toc4464"/>
      <w:bookmarkStart w:id="382" w:name="_Toc2019"/>
      <w:r>
        <w:rPr>
          <w:rFonts w:hint="default" w:ascii="仿宋_GB2312" w:hAnsi="仿宋_GB2312" w:cs="仿宋_GB2312"/>
          <w:highlight w:val="none"/>
        </w:rPr>
        <w:t>调整产业结构</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hint="eastAsia" w:ascii="仿宋_GB2312" w:hAnsi="仿宋_GB2312" w:cs="仿宋_GB2312"/>
          <w:highlight w:val="none"/>
          <w:lang w:eastAsia="zh-CN"/>
        </w:rPr>
        <w:t>。</w:t>
      </w:r>
      <w:r>
        <w:rPr>
          <w:rFonts w:hint="eastAsia" w:ascii="仿宋_GB2312" w:hAnsi="仿宋_GB2312" w:cs="仿宋_GB2312"/>
          <w:highlight w:val="none"/>
          <w:lang w:val="en-US" w:eastAsia="zh-CN"/>
        </w:rPr>
        <w:t>支持有色、煤炭、建材等传统产业企业加强技术创新、完善工艺流程、促进工业技改投资，</w:t>
      </w:r>
      <w:r>
        <w:rPr>
          <w:rFonts w:ascii="仿宋_GB2312" w:hAnsi="仿宋_GB2312" w:cs="仿宋_GB2312"/>
          <w:highlight w:val="none"/>
        </w:rPr>
        <w:t>推动传统产业行业深度治理和绿色低碳升级改造，实施减污降碳协同治理。巩固提升“散乱污”工业企业治理成效。</w:t>
      </w:r>
    </w:p>
    <w:p w14:paraId="2163B339">
      <w:pPr>
        <w:ind w:firstLine="640"/>
        <w:rPr>
          <w:highlight w:val="none"/>
        </w:rPr>
      </w:pPr>
      <w:bookmarkStart w:id="383" w:name="_TOC_250155"/>
      <w:bookmarkEnd w:id="383"/>
      <w:bookmarkStart w:id="384" w:name="_Toc4984"/>
      <w:bookmarkStart w:id="385" w:name="_Toc88954792"/>
      <w:bookmarkStart w:id="386" w:name="_Toc88955335"/>
      <w:bookmarkStart w:id="387" w:name="_Toc17007"/>
      <w:r>
        <w:rPr>
          <w:rFonts w:hint="eastAsia"/>
          <w:highlight w:val="none"/>
        </w:rPr>
        <w:t>推进能源资源利用</w:t>
      </w:r>
      <w:bookmarkEnd w:id="384"/>
      <w:bookmarkEnd w:id="385"/>
      <w:bookmarkEnd w:id="386"/>
      <w:bookmarkEnd w:id="387"/>
      <w:r>
        <w:rPr>
          <w:rFonts w:hint="eastAsia"/>
          <w:highlight w:val="none"/>
          <w:lang w:eastAsia="zh-CN"/>
        </w:rPr>
        <w:t>。</w:t>
      </w:r>
      <w:r>
        <w:rPr>
          <w:rFonts w:hint="eastAsia"/>
          <w:highlight w:val="none"/>
          <w:lang w:val="en-US" w:eastAsia="zh-CN"/>
        </w:rPr>
        <w:t>加快新旧动能转换，培育打造战略性新兴产业和现代服务业，构建现代化绿色产业体系，形成生态环境质量改善的强大内生动力。</w:t>
      </w:r>
      <w:r>
        <w:rPr>
          <w:highlight w:val="none"/>
        </w:rPr>
        <w:t>提升行业资源能源利用效率，严格执行产品能效、水效、能耗限额、碳排放、污染物排放等标准</w:t>
      </w:r>
      <w:r>
        <w:rPr>
          <w:rFonts w:hint="eastAsia"/>
          <w:highlight w:val="none"/>
        </w:rPr>
        <w:t>，</w:t>
      </w:r>
      <w:r>
        <w:rPr>
          <w:highlight w:val="none"/>
        </w:rPr>
        <w:t>建立健全节能、循环经济</w:t>
      </w:r>
      <w:r>
        <w:rPr>
          <w:rFonts w:hint="eastAsia"/>
          <w:highlight w:val="none"/>
        </w:rPr>
        <w:t>体系</w:t>
      </w:r>
      <w:r>
        <w:rPr>
          <w:highlight w:val="none"/>
        </w:rPr>
        <w:t>。对重点行业深入推进强制性清洁生产审核，传统行业实施清洁化改造。</w:t>
      </w:r>
    </w:p>
    <w:p w14:paraId="447BF0A0">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388" w:name="_Toc3552"/>
      <w:bookmarkStart w:id="389" w:name="_Toc15057"/>
      <w:bookmarkStart w:id="390" w:name="_Toc88955336"/>
      <w:bookmarkStart w:id="391" w:name="_Toc88954793"/>
      <w:r>
        <w:rPr>
          <w:rFonts w:hint="eastAsia"/>
          <w:highlight w:val="none"/>
          <w:lang w:val="en-US" w:eastAsia="zh-CN"/>
        </w:rPr>
        <w:t>大力发展清洁能源</w:t>
      </w:r>
      <w:bookmarkEnd w:id="388"/>
      <w:bookmarkEnd w:id="389"/>
      <w:bookmarkEnd w:id="390"/>
      <w:bookmarkEnd w:id="391"/>
    </w:p>
    <w:p w14:paraId="49158B66">
      <w:pPr>
        <w:ind w:firstLine="640"/>
        <w:rPr>
          <w:rFonts w:ascii="仿宋_GB2312" w:hAnsi="仿宋_GB2312" w:cs="仿宋_GB2312"/>
          <w:szCs w:val="32"/>
          <w:highlight w:val="none"/>
        </w:rPr>
      </w:pPr>
      <w:bookmarkStart w:id="392" w:name="_Toc15654"/>
      <w:bookmarkStart w:id="393" w:name="_Toc27882"/>
      <w:bookmarkStart w:id="394" w:name="_Toc25035"/>
      <w:bookmarkStart w:id="395" w:name="_Toc25357"/>
      <w:bookmarkStart w:id="396" w:name="_Toc30597"/>
      <w:bookmarkStart w:id="397" w:name="_Toc12451"/>
      <w:bookmarkStart w:id="398" w:name="_Toc15884"/>
      <w:bookmarkStart w:id="399" w:name="_Toc27391"/>
      <w:bookmarkStart w:id="400" w:name="_Toc16991"/>
      <w:bookmarkStart w:id="401" w:name="_Toc26378"/>
      <w:bookmarkStart w:id="402" w:name="_Toc6611"/>
      <w:bookmarkStart w:id="403" w:name="_Toc8662"/>
      <w:bookmarkStart w:id="404" w:name="_Toc88955338"/>
      <w:bookmarkStart w:id="405" w:name="_Toc32551"/>
      <w:bookmarkStart w:id="406" w:name="_Toc19290"/>
      <w:bookmarkStart w:id="407" w:name="_Toc27708"/>
      <w:bookmarkStart w:id="408" w:name="_Toc18359"/>
      <w:bookmarkStart w:id="409" w:name="_Toc88954795"/>
      <w:bookmarkStart w:id="410" w:name="_Toc24124"/>
      <w:bookmarkStart w:id="411" w:name="_Toc29471"/>
      <w:bookmarkStart w:id="412" w:name="_Toc7981"/>
      <w:bookmarkStart w:id="413" w:name="_Toc457"/>
      <w:bookmarkStart w:id="414" w:name="_Toc28670"/>
      <w:r>
        <w:rPr>
          <w:rFonts w:hint="eastAsia" w:ascii="仿宋_GB2312" w:hAnsi="仿宋_GB2312" w:cs="仿宋_GB2312"/>
          <w:szCs w:val="32"/>
          <w:highlight w:val="none"/>
        </w:rPr>
        <w:t>优化能源供给结构</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调整优化能源结构和开发布局，大力推进光伏、风电等新能源开发利用，</w:t>
      </w:r>
      <w:r>
        <w:rPr>
          <w:rFonts w:hint="eastAsia" w:ascii="仿宋_GB2312" w:hAnsi="仿宋_GB2312" w:cs="仿宋_GB2312"/>
          <w:szCs w:val="32"/>
          <w:highlight w:val="none"/>
        </w:rPr>
        <w:t>推动非化石能源成为能源消费增量的主体。促进煤炭产业转型发展，科学控制产能产量，淘汰落后产能，释放优质产能，在保煤的前提下</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持续优化煤炭产能结构，严格控制煤炭开发强度。</w:t>
      </w:r>
    </w:p>
    <w:p w14:paraId="5EC5559A">
      <w:pPr>
        <w:ind w:firstLine="640"/>
        <w:rPr>
          <w:rFonts w:cs="Times New Roman"/>
          <w:szCs w:val="32"/>
          <w:highlight w:val="none"/>
        </w:rPr>
      </w:pPr>
      <w:bookmarkStart w:id="415" w:name="_Toc8910"/>
      <w:bookmarkStart w:id="416" w:name="_Toc88954796"/>
      <w:bookmarkStart w:id="417" w:name="_Toc88955339"/>
      <w:bookmarkStart w:id="418" w:name="_Toc7251"/>
      <w:r>
        <w:rPr>
          <w:rFonts w:hint="eastAsia" w:cs="Times New Roman"/>
          <w:szCs w:val="32"/>
          <w:highlight w:val="none"/>
        </w:rPr>
        <w:t>加大能源“双控”力度</w:t>
      </w:r>
      <w:bookmarkEnd w:id="415"/>
      <w:bookmarkEnd w:id="416"/>
      <w:bookmarkEnd w:id="417"/>
      <w:bookmarkEnd w:id="418"/>
      <w:r>
        <w:rPr>
          <w:rFonts w:hint="eastAsia" w:cs="Times New Roman"/>
          <w:szCs w:val="32"/>
          <w:highlight w:val="none"/>
          <w:lang w:eastAsia="zh-CN"/>
        </w:rPr>
        <w:t>。</w:t>
      </w:r>
      <w:r>
        <w:rPr>
          <w:rFonts w:hint="eastAsia" w:cs="Times New Roman"/>
          <w:szCs w:val="32"/>
          <w:highlight w:val="none"/>
          <w:lang w:val="en-US" w:eastAsia="zh-CN"/>
        </w:rPr>
        <w:t>严格控制能耗总量和能耗强度，坚持节能优先、量能而行，精细化管控能源消耗，全面推行用能预算管理和重点用能单位能耗在线监测，新建项目单位产品能耗必须达到国家标准。</w:t>
      </w:r>
      <w:r>
        <w:rPr>
          <w:rFonts w:hint="eastAsia" w:cs="Times New Roman"/>
          <w:szCs w:val="32"/>
          <w:highlight w:val="none"/>
        </w:rPr>
        <w:t>鼓励可再生能源消费，提高能源利用效率，推动产业结构和能源消费结构双优化，推进能源高效利用、梯级利用和能源资源综合利用，鼓励煤炭清洁化利用。</w:t>
      </w:r>
      <w:r>
        <w:rPr>
          <w:rFonts w:hint="eastAsia" w:cs="Times New Roman"/>
          <w:szCs w:val="32"/>
          <w:highlight w:val="none"/>
          <w:lang w:val="en-US" w:eastAsia="zh-CN"/>
        </w:rPr>
        <w:t>压紧压实属地责任、行业部门监管责任和企业主体责任，确保完成能耗“双控”目标任务。</w:t>
      </w:r>
    </w:p>
    <w:p w14:paraId="29D6C43F">
      <w:pPr>
        <w:pStyle w:val="4"/>
        <w:spacing w:before="0" w:after="0"/>
        <w:ind w:firstLine="0"/>
        <w:rPr>
          <w:highlight w:val="none"/>
        </w:rPr>
      </w:pPr>
      <w:bookmarkStart w:id="419" w:name="_Toc14000"/>
      <w:bookmarkStart w:id="420" w:name="_Toc20220"/>
      <w:bookmarkStart w:id="421" w:name="_Toc88955340"/>
      <w:bookmarkStart w:id="422" w:name="_Toc88954797"/>
      <w:r>
        <w:rPr>
          <w:rFonts w:hint="eastAsia"/>
          <w:highlight w:val="none"/>
        </w:rPr>
        <w:t>构建绿色交通体系</w:t>
      </w:r>
      <w:bookmarkEnd w:id="419"/>
      <w:bookmarkEnd w:id="420"/>
      <w:bookmarkEnd w:id="421"/>
      <w:bookmarkEnd w:id="422"/>
    </w:p>
    <w:p w14:paraId="5D2398DF">
      <w:pPr>
        <w:ind w:firstLine="640"/>
        <w:rPr>
          <w:rFonts w:hint="eastAsia"/>
          <w:highlight w:val="none"/>
          <w:lang w:val="en-US" w:eastAsia="zh-CN"/>
        </w:rPr>
      </w:pPr>
      <w:bookmarkStart w:id="423" w:name="_TOC_250148"/>
      <w:bookmarkEnd w:id="423"/>
      <w:r>
        <w:rPr>
          <w:rFonts w:hint="eastAsia"/>
          <w:highlight w:val="none"/>
          <w:lang w:val="en-US" w:eastAsia="zh-CN"/>
        </w:rPr>
        <w:t>加强城市综合交通体系管理，协同推进节能减污降碳。</w:t>
      </w:r>
      <w:r>
        <w:rPr>
          <w:rFonts w:hint="eastAsia"/>
          <w:highlight w:val="none"/>
        </w:rPr>
        <w:t>全面实施轻型车和重型车国六排放标准，实施非道路移动柴油机械第四阶段排放标准，基本消除未登记或冒黑烟工程机械。到2025年，基本淘汰国三及以下柴油货车。</w:t>
      </w:r>
      <w:r>
        <w:rPr>
          <w:rFonts w:hint="eastAsia"/>
          <w:highlight w:val="none"/>
          <w:lang w:val="en-US" w:eastAsia="zh-CN"/>
        </w:rPr>
        <w:t>加大新能源汽车推广力度，提高城市公交领域新增和更新车辆中新能源汽车占比，鼓励城市建成区环卫、邮政、通勤、轻型物流配送车辆中增加新能源车辆占比。抓好城市步行、自行车交通系统建设，形成比较完善的慢行交通网络。</w:t>
      </w:r>
    </w:p>
    <w:p w14:paraId="043930FB">
      <w:pPr>
        <w:pStyle w:val="4"/>
        <w:rPr>
          <w:rFonts w:hint="eastAsia"/>
          <w:highlight w:val="none"/>
          <w:lang w:val="en-US" w:eastAsia="zh-CN"/>
        </w:rPr>
      </w:pPr>
      <w:bookmarkStart w:id="424" w:name="_Toc19648"/>
      <w:r>
        <w:rPr>
          <w:rFonts w:hint="eastAsia"/>
          <w:highlight w:val="none"/>
          <w:lang w:val="en-US" w:eastAsia="zh-CN"/>
        </w:rPr>
        <w:t>推行绿色低碳生活方式</w:t>
      </w:r>
      <w:bookmarkEnd w:id="424"/>
    </w:p>
    <w:p w14:paraId="39C6AA02">
      <w:pPr>
        <w:ind w:firstLine="640"/>
        <w:rPr>
          <w:rFonts w:hint="eastAsia"/>
          <w:highlight w:val="none"/>
        </w:rPr>
      </w:pPr>
      <w:r>
        <w:rPr>
          <w:rFonts w:hint="eastAsia"/>
          <w:highlight w:val="none"/>
        </w:rPr>
        <w:t>加强生态文明意识教育。加强生态环境宣传教育，加大习近平生态文明思想宣传力度，积极动员各类媒体，创新传播平台路径，讲好生态文明故事，进一步推进习近平生态文明思想深入人心。推进生态文明教育，促进生态环境教育事业蓬勃发展。强化舆论引导，全面提升全民生态环境意识和科学素质，为推动绿色发展营造良好的社会氛围。</w:t>
      </w:r>
    </w:p>
    <w:p w14:paraId="1E88B819">
      <w:pPr>
        <w:ind w:firstLine="640"/>
        <w:rPr>
          <w:rFonts w:hint="eastAsia"/>
          <w:highlight w:val="none"/>
        </w:rPr>
      </w:pPr>
      <w:r>
        <w:rPr>
          <w:rFonts w:hint="eastAsia"/>
          <w:highlight w:val="none"/>
        </w:rPr>
        <w:t>培育绿色消费理念。大力宣传尊重自然、顺应自然、保护自然的生态文明理念，倡导简约适度、绿色低碳的生活方式，在全社会唱响生态文明建设主旋律。推动环保设施向公众开放。扎实推进新时代文明实践工作，推动群众性生态文明绿色行动深入开展。</w:t>
      </w:r>
    </w:p>
    <w:p w14:paraId="28910A93">
      <w:pPr>
        <w:pStyle w:val="2"/>
        <w:ind w:firstLine="640"/>
        <w:rPr>
          <w:highlight w:val="none"/>
        </w:rPr>
      </w:pPr>
      <w:r>
        <w:rPr>
          <w:rFonts w:hint="eastAsia"/>
          <w:highlight w:val="none"/>
        </w:rPr>
        <w:t>推进全民绿色生活绿色消费，推行《公民生态环境行为规范（试行）》，积极倡导绿色出行、绿色消费、绿色餐饮、绿色快递、绿色旅游等，引导公众积极践行绿色生活方式。推进城市社区基础设施绿色化。推动节约型机关、绿色家庭、绿色学校、绿色社区、绿色建筑等创建活动，到2025年，绿色生活创建活动取得显著成效。</w:t>
      </w:r>
    </w:p>
    <w:p w14:paraId="757902EA">
      <w:pPr>
        <w:ind w:firstLine="640"/>
        <w:rPr>
          <w:highlight w:val="none"/>
        </w:rPr>
        <w:sectPr>
          <w:footerReference r:id="rId13" w:type="default"/>
          <w:pgSz w:w="11906" w:h="16838"/>
          <w:pgMar w:top="1440" w:right="1800" w:bottom="1440" w:left="1800" w:header="851" w:footer="992" w:gutter="0"/>
          <w:pgNumType w:fmt="numberInDash"/>
          <w:cols w:space="425" w:num="1"/>
          <w:docGrid w:type="lines" w:linePitch="312" w:charSpace="0"/>
        </w:sectPr>
      </w:pPr>
      <w:bookmarkStart w:id="425" w:name="_Toc5377"/>
      <w:bookmarkStart w:id="426" w:name="_Toc13208"/>
      <w:bookmarkStart w:id="427" w:name="_Toc24204"/>
      <w:bookmarkStart w:id="428" w:name="_Toc28535"/>
      <w:bookmarkStart w:id="429" w:name="_Toc1857"/>
      <w:bookmarkStart w:id="430" w:name="_Toc723"/>
      <w:bookmarkStart w:id="431" w:name="_Toc25435"/>
      <w:bookmarkStart w:id="432" w:name="_Toc27816"/>
      <w:bookmarkStart w:id="433" w:name="_Toc28896"/>
      <w:bookmarkStart w:id="434" w:name="_Toc20145"/>
      <w:bookmarkStart w:id="435" w:name="_Toc26709"/>
      <w:bookmarkStart w:id="436" w:name="_Toc8089"/>
      <w:bookmarkStart w:id="437" w:name="_Toc4642"/>
      <w:bookmarkStart w:id="438" w:name="_Toc20452"/>
      <w:bookmarkStart w:id="439" w:name="_Toc27010"/>
      <w:bookmarkStart w:id="440" w:name="_Toc38"/>
      <w:bookmarkStart w:id="441" w:name="_Toc3069"/>
      <w:bookmarkStart w:id="442" w:name="_Toc17674"/>
      <w:bookmarkStart w:id="443" w:name="_Toc18171"/>
      <w:bookmarkStart w:id="444" w:name="_Toc7806"/>
      <w:bookmarkStart w:id="445" w:name="_Toc8330"/>
      <w:bookmarkStart w:id="446" w:name="_Toc2948"/>
      <w:bookmarkStart w:id="447" w:name="_Toc19517"/>
      <w:bookmarkStart w:id="448" w:name="_Toc1842"/>
    </w:p>
    <w:p w14:paraId="7B80B936">
      <w:pPr>
        <w:pStyle w:val="3"/>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449" w:name="_Toc15612"/>
      <w:bookmarkStart w:id="450" w:name="_Toc88955345"/>
      <w:bookmarkStart w:id="451" w:name="_Toc88954802"/>
      <w:bookmarkStart w:id="452" w:name="_Toc26714"/>
      <w:r>
        <w:rPr>
          <w:rFonts w:hint="eastAsia"/>
          <w:highlight w:val="none"/>
        </w:rPr>
        <w:t>控制温室气体排放，积极应对气候变化</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786197C2">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453" w:name="_Toc31668"/>
      <w:bookmarkStart w:id="454" w:name="_Toc88954803"/>
      <w:bookmarkStart w:id="455" w:name="_Toc3656"/>
      <w:bookmarkStart w:id="456" w:name="_Toc88955346"/>
      <w:r>
        <w:rPr>
          <w:rFonts w:hint="eastAsia"/>
          <w:highlight w:val="none"/>
          <w:lang w:val="en-US" w:eastAsia="zh-CN"/>
        </w:rPr>
        <w:t>配合</w:t>
      </w:r>
      <w:r>
        <w:rPr>
          <w:rFonts w:hint="eastAsia"/>
          <w:highlight w:val="none"/>
        </w:rPr>
        <w:t>开展碳排放达峰行动</w:t>
      </w:r>
      <w:bookmarkEnd w:id="453"/>
      <w:bookmarkEnd w:id="454"/>
      <w:bookmarkEnd w:id="455"/>
      <w:bookmarkEnd w:id="456"/>
    </w:p>
    <w:p w14:paraId="5396319D">
      <w:pPr>
        <w:ind w:firstLine="640"/>
        <w:rPr>
          <w:rFonts w:hint="default" w:eastAsia="仿宋_GB2312"/>
          <w:highlight w:val="none"/>
          <w:lang w:val="en-US" w:eastAsia="zh-CN"/>
        </w:rPr>
      </w:pPr>
      <w:bookmarkStart w:id="457" w:name="_TOC_250146"/>
      <w:bookmarkEnd w:id="457"/>
      <w:bookmarkStart w:id="458" w:name="_Toc11443"/>
      <w:bookmarkStart w:id="459" w:name="_Toc14429"/>
      <w:bookmarkStart w:id="460" w:name="_Toc26098"/>
      <w:bookmarkStart w:id="461" w:name="_Toc13837"/>
      <w:bookmarkStart w:id="462" w:name="_Toc88955348"/>
      <w:bookmarkStart w:id="463" w:name="_Toc12168"/>
      <w:bookmarkStart w:id="464" w:name="_Toc88954805"/>
      <w:bookmarkStart w:id="465" w:name="_Toc24080"/>
      <w:bookmarkStart w:id="466" w:name="_Toc10612"/>
      <w:bookmarkStart w:id="467" w:name="_Toc31898"/>
      <w:bookmarkStart w:id="468" w:name="_Toc2058"/>
      <w:bookmarkStart w:id="469" w:name="_Toc31480"/>
      <w:bookmarkStart w:id="470" w:name="_Toc20507"/>
      <w:bookmarkStart w:id="471" w:name="_Toc6097"/>
      <w:bookmarkStart w:id="472" w:name="_Toc26290"/>
      <w:bookmarkStart w:id="473" w:name="_Toc12287"/>
      <w:bookmarkStart w:id="474" w:name="_Toc3398"/>
      <w:bookmarkStart w:id="475" w:name="_Toc27896"/>
      <w:bookmarkStart w:id="476" w:name="_Toc28757"/>
      <w:bookmarkStart w:id="477" w:name="_Toc13449"/>
      <w:bookmarkStart w:id="478" w:name="_Toc6970"/>
      <w:bookmarkStart w:id="479" w:name="_Toc17400"/>
      <w:bookmarkStart w:id="480" w:name="_Toc29870"/>
      <w:r>
        <w:rPr>
          <w:rFonts w:hint="eastAsia"/>
          <w:highlight w:val="none"/>
        </w:rPr>
        <w:t>配合上级开展二氧化碳排放达峰行动</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hint="eastAsia"/>
          <w:highlight w:val="none"/>
          <w:lang w:eastAsia="zh-CN"/>
        </w:rPr>
        <w:t>。</w:t>
      </w:r>
      <w:r>
        <w:rPr>
          <w:rFonts w:hint="eastAsia"/>
          <w:highlight w:val="none"/>
        </w:rPr>
        <w:t>落实呼伦贝尔碳排放达峰行动方案相关要求，配合上级完成碳排放达峰目标的配套政策措施。</w:t>
      </w:r>
      <w:r>
        <w:rPr>
          <w:rFonts w:hint="eastAsia"/>
          <w:highlight w:val="none"/>
          <w:lang w:val="en-US" w:eastAsia="zh-CN"/>
        </w:rPr>
        <w:t>在“十四五”期间综合运用相关政策工具和手段措施推动实施，确保在2030年前配合上级实现二氧化碳排放达峰的战略目标。</w:t>
      </w:r>
    </w:p>
    <w:p w14:paraId="6FD151F6">
      <w:pPr>
        <w:ind w:firstLine="640"/>
        <w:rPr>
          <w:highlight w:val="none"/>
        </w:rPr>
      </w:pPr>
      <w:bookmarkStart w:id="481" w:name="_TOC_250144"/>
      <w:bookmarkEnd w:id="481"/>
      <w:bookmarkStart w:id="482" w:name="_Toc2319"/>
      <w:bookmarkStart w:id="483" w:name="_Toc32171"/>
      <w:bookmarkStart w:id="484" w:name="_Toc8944"/>
      <w:bookmarkStart w:id="485" w:name="_Toc16511"/>
      <w:bookmarkStart w:id="486" w:name="_Toc8235"/>
      <w:bookmarkStart w:id="487" w:name="_Toc26867"/>
      <w:bookmarkStart w:id="488" w:name="_Toc5912"/>
      <w:bookmarkStart w:id="489" w:name="_Toc29846"/>
      <w:bookmarkStart w:id="490" w:name="_Toc6066"/>
      <w:bookmarkStart w:id="491" w:name="_Toc88955351"/>
      <w:bookmarkStart w:id="492" w:name="_Toc12435"/>
      <w:bookmarkStart w:id="493" w:name="_Toc28297"/>
      <w:bookmarkStart w:id="494" w:name="_Toc19431"/>
      <w:bookmarkStart w:id="495" w:name="_Toc17792"/>
      <w:bookmarkStart w:id="496" w:name="_Toc13361"/>
      <w:bookmarkStart w:id="497" w:name="_Toc4008"/>
      <w:bookmarkStart w:id="498" w:name="_Toc26513"/>
      <w:bookmarkStart w:id="499" w:name="_Toc4164"/>
      <w:bookmarkStart w:id="500" w:name="_Toc26436"/>
      <w:bookmarkStart w:id="501" w:name="_Toc31059"/>
      <w:bookmarkStart w:id="502" w:name="_Toc349"/>
      <w:bookmarkStart w:id="503" w:name="_Toc28041"/>
      <w:bookmarkStart w:id="504" w:name="_Toc88954808"/>
      <w:r>
        <w:rPr>
          <w:rFonts w:hint="eastAsia"/>
          <w:highlight w:val="none"/>
        </w:rPr>
        <w:t>推进重点行业</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Pr>
          <w:rFonts w:hint="eastAsia"/>
          <w:highlight w:val="none"/>
          <w:lang w:val="en-US" w:eastAsia="zh-CN"/>
        </w:rPr>
        <w:t>二氧化碳排放达峰</w:t>
      </w:r>
      <w:r>
        <w:rPr>
          <w:rFonts w:hint="eastAsia"/>
          <w:highlight w:val="none"/>
          <w:lang w:eastAsia="zh-CN"/>
        </w:rPr>
        <w:t>。</w:t>
      </w:r>
      <w:r>
        <w:rPr>
          <w:rFonts w:hint="eastAsia"/>
          <w:highlight w:val="none"/>
        </w:rPr>
        <w:t>重点控制高</w:t>
      </w:r>
      <w:r>
        <w:rPr>
          <w:rFonts w:hint="eastAsia"/>
          <w:highlight w:val="none"/>
          <w:lang w:val="en-US" w:eastAsia="zh-CN"/>
        </w:rPr>
        <w:t>碳排放</w:t>
      </w:r>
      <w:r>
        <w:rPr>
          <w:rFonts w:hint="eastAsia"/>
          <w:highlight w:val="none"/>
        </w:rPr>
        <w:t>行业二氧化碳排放，根据上级安排部署，</w:t>
      </w:r>
      <w:r>
        <w:rPr>
          <w:rFonts w:hint="eastAsia"/>
          <w:highlight w:val="none"/>
          <w:lang w:val="en-US" w:eastAsia="zh-CN"/>
        </w:rPr>
        <w:t>引导区内重点高碳排放企业开展二氧化碳排放达峰行动，</w:t>
      </w:r>
      <w:r>
        <w:rPr>
          <w:rFonts w:hint="eastAsia"/>
          <w:highlight w:val="none"/>
        </w:rPr>
        <w:t>鼓励</w:t>
      </w:r>
      <w:r>
        <w:rPr>
          <w:rFonts w:hint="eastAsia"/>
          <w:highlight w:val="none"/>
          <w:lang w:val="en-US" w:eastAsia="zh-CN"/>
        </w:rPr>
        <w:t>高碳排放行业和重点企业</w:t>
      </w:r>
      <w:r>
        <w:rPr>
          <w:rFonts w:hint="eastAsia"/>
          <w:highlight w:val="none"/>
        </w:rPr>
        <w:t>制定二氧化碳达峰行动方案</w:t>
      </w:r>
      <w:r>
        <w:rPr>
          <w:rFonts w:hint="eastAsia"/>
          <w:highlight w:val="none"/>
          <w:lang w:eastAsia="zh-CN"/>
        </w:rPr>
        <w:t>，</w:t>
      </w:r>
      <w:r>
        <w:rPr>
          <w:rFonts w:hint="eastAsia"/>
          <w:highlight w:val="none"/>
          <w:lang w:val="en-US" w:eastAsia="zh-CN"/>
        </w:rPr>
        <w:t>降低煤炭消耗</w:t>
      </w:r>
      <w:r>
        <w:rPr>
          <w:rFonts w:hint="eastAsia"/>
          <w:highlight w:val="none"/>
        </w:rPr>
        <w:t>。严格控制高耗能项目准入，对已有项目按照先进的能效标准改造提升，提高工业用能效率。持续淘汰落后产能、化解过剩产能。优化</w:t>
      </w:r>
      <w:r>
        <w:rPr>
          <w:rFonts w:hint="eastAsia"/>
          <w:highlight w:val="none"/>
          <w:lang w:val="en-US" w:eastAsia="zh-CN"/>
        </w:rPr>
        <w:t>高耗能</w:t>
      </w:r>
      <w:r>
        <w:rPr>
          <w:rFonts w:hint="eastAsia"/>
          <w:highlight w:val="none"/>
        </w:rPr>
        <w:t>传统行业，积极引导现有企业技术改造升级，强化资源综合利用、循环发展。控制生</w:t>
      </w:r>
      <w:r>
        <w:rPr>
          <w:rFonts w:hint="eastAsia"/>
          <w:highlight w:val="none"/>
          <w:lang w:val="en-US" w:eastAsia="zh-CN"/>
        </w:rPr>
        <w:t>产活动、商业和公共机构温室气体排放。</w:t>
      </w:r>
      <w:r>
        <w:rPr>
          <w:rFonts w:hint="eastAsia"/>
          <w:highlight w:val="none"/>
        </w:rPr>
        <w:t>加大对企业低碳技术创新的支持力度，鼓励企业采用《国家重点推广的低碳技术目录》进行升级改造。</w:t>
      </w:r>
    </w:p>
    <w:p w14:paraId="243A4470">
      <w:pPr>
        <w:ind w:firstLine="640"/>
        <w:rPr>
          <w:highlight w:val="none"/>
        </w:rPr>
      </w:pPr>
      <w:bookmarkStart w:id="505" w:name="_TOC_250140"/>
      <w:bookmarkEnd w:id="505"/>
      <w:bookmarkStart w:id="506" w:name="_Toc23862"/>
      <w:bookmarkStart w:id="507" w:name="_Toc6513"/>
      <w:bookmarkStart w:id="508" w:name="_Toc88955355"/>
      <w:bookmarkStart w:id="509" w:name="_Toc88954812"/>
      <w:r>
        <w:rPr>
          <w:rFonts w:hint="eastAsia"/>
          <w:highlight w:val="none"/>
        </w:rPr>
        <w:t>大力发展低碳交通</w:t>
      </w:r>
      <w:bookmarkEnd w:id="506"/>
      <w:bookmarkEnd w:id="507"/>
      <w:bookmarkEnd w:id="508"/>
      <w:bookmarkEnd w:id="509"/>
      <w:r>
        <w:rPr>
          <w:rFonts w:hint="eastAsia"/>
          <w:highlight w:val="none"/>
          <w:lang w:eastAsia="zh-CN"/>
        </w:rPr>
        <w:t>。</w:t>
      </w:r>
      <w:r>
        <w:rPr>
          <w:rFonts w:hint="eastAsia"/>
          <w:highlight w:val="none"/>
          <w:lang w:val="en-US" w:eastAsia="zh-CN"/>
        </w:rPr>
        <w:t>推广使用高效、节能、环保的交通运输工具，大力推广节能和新能源汽车，加大新能源和清洁能源在城市公交车、出租车、网约车中的应用，加大交通行业节能低碳技术推广。逐步</w:t>
      </w:r>
      <w:r>
        <w:rPr>
          <w:rFonts w:hint="eastAsia"/>
          <w:highlight w:val="none"/>
        </w:rPr>
        <w:t>配合上级完善</w:t>
      </w:r>
      <w:r>
        <w:rPr>
          <w:rFonts w:hint="eastAsia"/>
          <w:highlight w:val="none"/>
          <w:lang w:val="en-US" w:eastAsia="zh-CN"/>
        </w:rPr>
        <w:t>多层次公交系统</w:t>
      </w:r>
      <w:r>
        <w:rPr>
          <w:rFonts w:hint="eastAsia"/>
          <w:highlight w:val="none"/>
        </w:rPr>
        <w:t>建设</w:t>
      </w:r>
      <w:r>
        <w:rPr>
          <w:rFonts w:hint="eastAsia"/>
          <w:highlight w:val="none"/>
          <w:lang w:eastAsia="zh-CN"/>
        </w:rPr>
        <w:t>。</w:t>
      </w:r>
    </w:p>
    <w:p w14:paraId="386801E7">
      <w:pPr>
        <w:ind w:firstLine="640"/>
        <w:rPr>
          <w:rFonts w:hint="eastAsia"/>
          <w:highlight w:val="none"/>
          <w:lang w:val="en-US" w:eastAsia="zh-CN"/>
        </w:rPr>
      </w:pPr>
      <w:bookmarkStart w:id="510" w:name="_TOC_250139"/>
      <w:bookmarkEnd w:id="510"/>
      <w:bookmarkStart w:id="511" w:name="_Toc19900"/>
      <w:bookmarkStart w:id="512" w:name="_Toc24778"/>
      <w:bookmarkStart w:id="513" w:name="_Toc88955356"/>
      <w:bookmarkStart w:id="514" w:name="_Toc88954813"/>
      <w:r>
        <w:rPr>
          <w:rFonts w:hint="eastAsia"/>
          <w:highlight w:val="none"/>
          <w:lang w:val="en-US" w:eastAsia="zh-CN"/>
        </w:rPr>
        <w:t>加快</w:t>
      </w:r>
      <w:r>
        <w:rPr>
          <w:rFonts w:hint="eastAsia"/>
          <w:highlight w:val="none"/>
        </w:rPr>
        <w:t>发展绿色低碳建筑</w:t>
      </w:r>
      <w:bookmarkEnd w:id="511"/>
      <w:bookmarkEnd w:id="512"/>
      <w:bookmarkEnd w:id="513"/>
      <w:bookmarkEnd w:id="514"/>
      <w:r>
        <w:rPr>
          <w:rFonts w:hint="eastAsia"/>
          <w:highlight w:val="none"/>
          <w:lang w:eastAsia="zh-CN"/>
        </w:rPr>
        <w:t>。</w:t>
      </w:r>
      <w:r>
        <w:rPr>
          <w:rFonts w:hint="eastAsia"/>
          <w:highlight w:val="none"/>
        </w:rPr>
        <w:t>提高建筑节能和绿色建筑发展水平，尝试性发展绿色低碳建筑</w:t>
      </w:r>
      <w:r>
        <w:rPr>
          <w:rFonts w:hint="eastAsia"/>
          <w:highlight w:val="none"/>
          <w:lang w:eastAsia="zh-CN"/>
        </w:rPr>
        <w:t>。</w:t>
      </w:r>
      <w:r>
        <w:rPr>
          <w:rFonts w:hint="eastAsia"/>
          <w:highlight w:val="none"/>
          <w:lang w:val="en-US" w:eastAsia="zh-CN"/>
        </w:rPr>
        <w:t>加快推进以公共建筑为核心的既有建筑绿色改造工作，促进节能空调、节能电梯以及可再生能源的使用。深入开展绿色建筑行动，新建建筑严格执行居住建筑节能标准和绿色建筑标准。推广装配式建筑，倡导发展现代木结构建筑，鼓励使用新型墙体材料。按照上级部署引导和推动高星级绿色建筑发展。努力争取供热源头的清洁化，积极利用</w:t>
      </w:r>
      <w:r>
        <w:rPr>
          <w:rFonts w:hint="eastAsia"/>
          <w:highlight w:val="none"/>
          <w:shd w:val="clear"/>
          <w:lang w:val="en-US" w:eastAsia="zh-CN"/>
        </w:rPr>
        <w:t>热电联产集中供热、工业废热集中供热以及</w:t>
      </w:r>
      <w:r>
        <w:rPr>
          <w:rFonts w:hint="eastAsia"/>
          <w:highlight w:val="none"/>
          <w:lang w:val="en-US" w:eastAsia="zh-CN"/>
        </w:rPr>
        <w:t>可再生能源供热。加大供热管网建设和改造力度，提高热量传输效率减少耗散。</w:t>
      </w:r>
    </w:p>
    <w:p w14:paraId="142E2BFC">
      <w:pPr>
        <w:ind w:firstLine="640"/>
        <w:rPr>
          <w:highlight w:val="none"/>
        </w:rPr>
      </w:pPr>
      <w:r>
        <w:rPr>
          <w:rFonts w:hint="eastAsia"/>
          <w:highlight w:val="none"/>
          <w:lang w:val="en-US" w:eastAsia="zh-CN"/>
        </w:rPr>
        <w:t>控制非二氧化碳温室气体排放。开展废弃煤矿瓦斯治理和利用，严控关闭矿井瓦斯逸散。加强标准化规模养殖，控制畜禽养殖甲烷和氧化亚氮排放。</w:t>
      </w:r>
    </w:p>
    <w:p w14:paraId="7A08285B">
      <w:pPr>
        <w:pStyle w:val="4"/>
        <w:spacing w:before="0" w:after="0"/>
        <w:ind w:firstLine="0"/>
        <w:rPr>
          <w:highlight w:val="none"/>
        </w:rPr>
      </w:pPr>
      <w:bookmarkStart w:id="515" w:name="_TOC_250138"/>
      <w:bookmarkEnd w:id="515"/>
      <w:bookmarkStart w:id="516" w:name="_Toc88954814"/>
      <w:bookmarkStart w:id="517" w:name="_Toc25847"/>
      <w:bookmarkStart w:id="518" w:name="_Toc88955357"/>
      <w:bookmarkStart w:id="519" w:name="_Toc19455"/>
      <w:r>
        <w:rPr>
          <w:rFonts w:hint="eastAsia"/>
          <w:highlight w:val="none"/>
        </w:rPr>
        <w:t>积极适应气候变化</w:t>
      </w:r>
      <w:bookmarkEnd w:id="516"/>
      <w:bookmarkEnd w:id="517"/>
      <w:bookmarkEnd w:id="518"/>
      <w:bookmarkEnd w:id="519"/>
    </w:p>
    <w:p w14:paraId="640CB85A">
      <w:pPr>
        <w:ind w:firstLine="640"/>
        <w:rPr>
          <w:highlight w:val="none"/>
        </w:rPr>
      </w:pPr>
      <w:bookmarkStart w:id="520" w:name="_TOC_250137"/>
      <w:bookmarkEnd w:id="520"/>
      <w:bookmarkStart w:id="521" w:name="_Toc8861"/>
      <w:bookmarkStart w:id="522" w:name="_Toc88955359"/>
      <w:bookmarkStart w:id="523" w:name="_Toc26543"/>
      <w:bookmarkStart w:id="524" w:name="_Toc26008"/>
      <w:bookmarkStart w:id="525" w:name="_Toc18589"/>
      <w:bookmarkStart w:id="526" w:name="_Toc7918"/>
      <w:bookmarkStart w:id="527" w:name="_Toc88954816"/>
      <w:bookmarkStart w:id="528" w:name="_Toc12417"/>
      <w:bookmarkStart w:id="529" w:name="_Toc30841"/>
      <w:bookmarkStart w:id="530" w:name="_Toc3902"/>
      <w:bookmarkStart w:id="531" w:name="_Toc12089"/>
      <w:bookmarkStart w:id="532" w:name="_Toc27852"/>
      <w:bookmarkStart w:id="533" w:name="_Toc27475"/>
      <w:bookmarkStart w:id="534" w:name="_Toc4007"/>
      <w:bookmarkStart w:id="535" w:name="_Toc20375"/>
      <w:bookmarkStart w:id="536" w:name="_Toc26669"/>
      <w:bookmarkStart w:id="537" w:name="_Toc26980"/>
      <w:bookmarkStart w:id="538" w:name="_Toc7635"/>
      <w:bookmarkStart w:id="539" w:name="_Toc223"/>
      <w:bookmarkStart w:id="540" w:name="_Toc5274"/>
      <w:bookmarkStart w:id="541" w:name="_Toc20876"/>
      <w:bookmarkStart w:id="542" w:name="_Toc16112"/>
      <w:bookmarkStart w:id="543" w:name="_Toc18676"/>
      <w:r>
        <w:rPr>
          <w:rFonts w:hint="eastAsia"/>
          <w:highlight w:val="none"/>
        </w:rPr>
        <w:t>提升适应气候变化能力</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Pr>
          <w:rFonts w:hint="eastAsia"/>
          <w:highlight w:val="none"/>
          <w:lang w:eastAsia="zh-CN"/>
        </w:rPr>
        <w:t>。不断提高草原、水资源、基础设施及城市、生态脆弱区的适应气候变化能力。合理布局城市空间，提高市政公用基础设施、交通运输设施、电力基础设施韧性。提升自然生态系统适应能力，重点在草原、河流湖泊和生态脆弱区。强化普及公众适应气候变化健康保护知识和极端事件应急防护技能，提高脆弱人群风险防护能力。</w:t>
      </w:r>
      <w:r>
        <w:rPr>
          <w:rFonts w:hint="eastAsia"/>
          <w:highlight w:val="none"/>
          <w:lang w:val="en-US" w:eastAsia="zh-CN"/>
        </w:rPr>
        <w:t>按照上级部署</w:t>
      </w:r>
      <w:r>
        <w:rPr>
          <w:rFonts w:hint="eastAsia"/>
          <w:highlight w:val="none"/>
          <w:lang w:eastAsia="zh-CN"/>
        </w:rPr>
        <w:t>开展自然灾害综合风险普查，加强自然灾害监测预报预警，提高综合防灾减灾救灾能力。</w:t>
      </w:r>
    </w:p>
    <w:p w14:paraId="54CC49D2">
      <w:pPr>
        <w:ind w:firstLine="640"/>
        <w:rPr>
          <w:highlight w:val="none"/>
        </w:rPr>
      </w:pPr>
      <w:bookmarkStart w:id="544" w:name="_TOC_250135"/>
      <w:bookmarkEnd w:id="544"/>
      <w:bookmarkStart w:id="545" w:name="_Toc9817"/>
      <w:bookmarkStart w:id="546" w:name="_Toc88955360"/>
      <w:bookmarkStart w:id="547" w:name="_Toc11741"/>
      <w:bookmarkStart w:id="548" w:name="_Toc6625"/>
      <w:bookmarkStart w:id="549" w:name="_Toc8062"/>
      <w:bookmarkStart w:id="550" w:name="_Toc12475"/>
      <w:bookmarkStart w:id="551" w:name="_Toc28922"/>
      <w:bookmarkStart w:id="552" w:name="_Toc28918"/>
      <w:bookmarkStart w:id="553" w:name="_Toc31364"/>
      <w:bookmarkStart w:id="554" w:name="_Toc18583"/>
      <w:bookmarkStart w:id="555" w:name="_Toc17485"/>
      <w:bookmarkStart w:id="556" w:name="_Toc5559"/>
      <w:bookmarkStart w:id="557" w:name="_Toc10171"/>
      <w:bookmarkStart w:id="558" w:name="_Toc32288"/>
      <w:bookmarkStart w:id="559" w:name="_Toc25239"/>
      <w:bookmarkStart w:id="560" w:name="_Toc23776"/>
      <w:bookmarkStart w:id="561" w:name="_Toc4305"/>
      <w:bookmarkStart w:id="562" w:name="_Toc88954817"/>
      <w:bookmarkStart w:id="563" w:name="_Toc24944"/>
      <w:bookmarkStart w:id="564" w:name="_Toc12635"/>
      <w:bookmarkStart w:id="565" w:name="_Toc21662"/>
      <w:bookmarkStart w:id="566" w:name="_Toc29114"/>
      <w:bookmarkStart w:id="567" w:name="_Toc26719"/>
      <w:r>
        <w:rPr>
          <w:rFonts w:hint="eastAsia"/>
          <w:highlight w:val="none"/>
        </w:rPr>
        <w:t>增加生态系统碳汇储量</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r>
        <w:rPr>
          <w:rFonts w:hint="eastAsia"/>
          <w:highlight w:val="none"/>
          <w:lang w:eastAsia="zh-CN"/>
        </w:rPr>
        <w:t>。加强生态保护与修复，提高生态系统碳固定服务功能。增强森林碳汇、草原碳汇、湿地碳汇能力。增加森林面积，提升森林质量，强力推进造林绿化步伐。统筹协调草原保护开发，封禁保护草原严格区、限制利用草原一般控制区，推进美丽草原建设。着力加强湿地保护与生态修复，实施湿地植被保护与重建，修复和畅通生态廊道，维护生物多样性。</w:t>
      </w:r>
    </w:p>
    <w:p w14:paraId="1BE6AF99">
      <w:pPr>
        <w:pStyle w:val="4"/>
        <w:spacing w:before="0" w:after="0"/>
        <w:ind w:firstLine="0"/>
        <w:rPr>
          <w:highlight w:val="none"/>
        </w:rPr>
      </w:pPr>
      <w:bookmarkStart w:id="568" w:name="_Toc88954818"/>
      <w:bookmarkStart w:id="569" w:name="_Toc27272"/>
      <w:bookmarkStart w:id="570" w:name="_Toc30537"/>
      <w:bookmarkStart w:id="571" w:name="_Toc88955361"/>
      <w:r>
        <w:rPr>
          <w:rFonts w:hint="eastAsia"/>
          <w:highlight w:val="none"/>
        </w:rPr>
        <w:t>加强应对气候变化管理</w:t>
      </w:r>
      <w:bookmarkEnd w:id="568"/>
      <w:bookmarkEnd w:id="569"/>
      <w:bookmarkEnd w:id="570"/>
      <w:bookmarkEnd w:id="571"/>
    </w:p>
    <w:p w14:paraId="7960A37D">
      <w:pPr>
        <w:ind w:firstLine="640"/>
        <w:rPr>
          <w:highlight w:val="none"/>
        </w:rPr>
      </w:pPr>
      <w:bookmarkStart w:id="572" w:name="_TOC_250134"/>
      <w:bookmarkEnd w:id="572"/>
      <w:bookmarkStart w:id="573" w:name="_Toc30743"/>
      <w:bookmarkStart w:id="574" w:name="_Toc8447"/>
      <w:bookmarkStart w:id="575" w:name="_Toc520"/>
      <w:bookmarkStart w:id="576" w:name="_Toc21467"/>
      <w:bookmarkStart w:id="577" w:name="_Toc24330"/>
      <w:bookmarkStart w:id="578" w:name="_Toc20987"/>
      <w:bookmarkStart w:id="579" w:name="_Toc3562"/>
      <w:bookmarkStart w:id="580" w:name="_Toc6584"/>
      <w:bookmarkStart w:id="581" w:name="_Toc13592"/>
      <w:bookmarkStart w:id="582" w:name="_Toc21474"/>
      <w:bookmarkStart w:id="583" w:name="_Toc21627"/>
      <w:bookmarkStart w:id="584" w:name="_Toc16395"/>
      <w:bookmarkStart w:id="585" w:name="_Toc88954820"/>
      <w:bookmarkStart w:id="586" w:name="_Toc88955363"/>
      <w:bookmarkStart w:id="587" w:name="_Toc14135"/>
      <w:bookmarkStart w:id="588" w:name="_Toc16139"/>
      <w:bookmarkStart w:id="589" w:name="_Toc13195"/>
      <w:bookmarkStart w:id="590" w:name="_Toc3877"/>
      <w:bookmarkStart w:id="591" w:name="_Toc21283"/>
      <w:bookmarkStart w:id="592" w:name="_Toc7063"/>
      <w:bookmarkStart w:id="593" w:name="_Toc8492"/>
      <w:bookmarkStart w:id="594" w:name="_Toc14447"/>
      <w:bookmarkStart w:id="595" w:name="_Toc22942"/>
      <w:r>
        <w:rPr>
          <w:rFonts w:hint="eastAsia"/>
          <w:highlight w:val="none"/>
        </w:rPr>
        <w:t>配合做好二氧化碳交易市场建设</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hint="eastAsia"/>
          <w:highlight w:val="none"/>
          <w:lang w:eastAsia="zh-CN"/>
        </w:rPr>
        <w:t>。</w:t>
      </w:r>
      <w:r>
        <w:rPr>
          <w:rFonts w:hint="eastAsia"/>
          <w:highlight w:val="none"/>
        </w:rPr>
        <w:t>按照上级统一部署，</w:t>
      </w:r>
      <w:r>
        <w:rPr>
          <w:rFonts w:hint="eastAsia"/>
          <w:highlight w:val="none"/>
          <w:lang w:eastAsia="zh-CN"/>
        </w:rPr>
        <w:t>推动企业完善碳排放管理，做好碳排放、碳交易及碳资产管理，推动企业主动适应、积极参与全国碳交易，提高企业绿色低碳竞争力。</w:t>
      </w:r>
      <w:r>
        <w:rPr>
          <w:rFonts w:hint="eastAsia"/>
          <w:highlight w:val="none"/>
          <w:lang w:val="en-US" w:eastAsia="zh-CN"/>
        </w:rPr>
        <w:t>配合上级</w:t>
      </w:r>
      <w:r>
        <w:rPr>
          <w:rFonts w:hint="eastAsia"/>
          <w:highlight w:val="none"/>
          <w:lang w:eastAsia="zh-CN"/>
        </w:rPr>
        <w:t>加强温室气体排放核算工作，切实抓好重点企业碳排放质量控制计划制定工作，督促企业按时完成核算报告报送与质量控制计划制定、更新工作，积极稳妥推进企业参与全国碳排放权交易。</w:t>
      </w:r>
      <w:r>
        <w:rPr>
          <w:rFonts w:hint="eastAsia"/>
          <w:highlight w:val="none"/>
        </w:rPr>
        <w:t>开展温室气体排放信息披露，鼓励企业主动公布温室气体排放信息和控排行动。</w:t>
      </w:r>
    </w:p>
    <w:p w14:paraId="35BD1EC9">
      <w:pPr>
        <w:spacing w:before="156" w:after="156"/>
        <w:ind w:firstLine="643"/>
        <w:rPr>
          <w:rFonts w:hint="eastAsia"/>
          <w:highlight w:val="none"/>
          <w:lang w:eastAsia="zh-CN"/>
        </w:rPr>
      </w:pPr>
      <w:bookmarkStart w:id="596" w:name="_TOC_250132"/>
      <w:bookmarkEnd w:id="596"/>
      <w:bookmarkStart w:id="597" w:name="_Toc14137"/>
      <w:bookmarkStart w:id="598" w:name="_Toc19120"/>
      <w:bookmarkStart w:id="599" w:name="_Toc30715"/>
      <w:bookmarkStart w:id="600" w:name="_Toc15752"/>
      <w:bookmarkStart w:id="601" w:name="_Toc20233"/>
      <w:bookmarkStart w:id="602" w:name="_Toc88954821"/>
      <w:bookmarkStart w:id="603" w:name="_Toc4632"/>
      <w:bookmarkStart w:id="604" w:name="_Toc24821"/>
      <w:bookmarkStart w:id="605" w:name="_Toc18245"/>
      <w:bookmarkStart w:id="606" w:name="_Toc15736"/>
      <w:bookmarkStart w:id="607" w:name="_Toc9146"/>
      <w:bookmarkStart w:id="608" w:name="_Toc88955364"/>
      <w:bookmarkStart w:id="609" w:name="_Toc19649"/>
      <w:bookmarkStart w:id="610" w:name="_Toc10058"/>
      <w:bookmarkStart w:id="611" w:name="_Toc1216"/>
      <w:bookmarkStart w:id="612" w:name="_Toc28815"/>
      <w:bookmarkStart w:id="613" w:name="_Toc28191"/>
      <w:bookmarkStart w:id="614" w:name="_Toc28194"/>
      <w:bookmarkStart w:id="615" w:name="_Toc18833"/>
      <w:bookmarkStart w:id="616" w:name="_Toc1183"/>
      <w:bookmarkStart w:id="617" w:name="_Toc1334"/>
      <w:bookmarkStart w:id="618" w:name="_Toc28383"/>
      <w:r>
        <w:rPr>
          <w:rFonts w:hint="default"/>
          <w:highlight w:val="none"/>
        </w:rPr>
        <w:t>推动实现减污降碳协同控制</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hint="eastAsia"/>
          <w:highlight w:val="none"/>
          <w:lang w:eastAsia="zh-CN"/>
        </w:rPr>
        <w:t>。探索温室气体排放与污染防治监管体系的有效衔接路径，强化治理目标一致性和治理体系协同性。加强全过程监管，积极推动排放单位监管、排污许可制度、减排措施融合，将碳排放重点企业纳入污染源日常监管。</w:t>
      </w:r>
      <w:r>
        <w:rPr>
          <w:rFonts w:hint="eastAsia"/>
          <w:highlight w:val="none"/>
          <w:lang w:val="en-US" w:eastAsia="zh-CN"/>
        </w:rPr>
        <w:t>配合上级</w:t>
      </w:r>
      <w:r>
        <w:rPr>
          <w:rFonts w:hint="eastAsia"/>
          <w:highlight w:val="none"/>
          <w:lang w:eastAsia="zh-CN"/>
        </w:rPr>
        <w:t>推进碳排放报告、监测、核查制度与排污许可制度融合，推进企事业单位污染物和温室气体排放相关数据的统一采集、相互补充。按照</w:t>
      </w:r>
      <w:r>
        <w:rPr>
          <w:rFonts w:hint="eastAsia"/>
          <w:highlight w:val="none"/>
          <w:lang w:val="en-US" w:eastAsia="zh-CN"/>
        </w:rPr>
        <w:t>上级</w:t>
      </w:r>
      <w:r>
        <w:rPr>
          <w:rFonts w:hint="eastAsia"/>
          <w:highlight w:val="none"/>
          <w:lang w:eastAsia="zh-CN"/>
        </w:rPr>
        <w:t>安排部署，探索规划环评中开展碳排放环境影响评价。通过规划环评、项目环评，推动区域、行业和企业落实煤炭等量减量代替、温室气体排放控制等政策要求。</w:t>
      </w:r>
    </w:p>
    <w:p w14:paraId="539395DC">
      <w:pPr>
        <w:ind w:firstLine="0"/>
        <w:rPr>
          <w:highlight w:val="none"/>
        </w:rPr>
        <w:sectPr>
          <w:pgSz w:w="11906" w:h="16838"/>
          <w:pgMar w:top="1440" w:right="1800" w:bottom="1440" w:left="1800" w:header="851" w:footer="992" w:gutter="0"/>
          <w:pgNumType w:fmt="numberInDash"/>
          <w:cols w:space="425" w:num="1"/>
          <w:docGrid w:type="lines" w:linePitch="312" w:charSpace="0"/>
        </w:sectPr>
      </w:pPr>
      <w:r>
        <w:rPr>
          <w:rFonts w:hint="eastAsia"/>
          <w:highlight w:val="none"/>
        </w:rPr>
        <w:t>推进应对气候变化制度融合。</w:t>
      </w:r>
      <w:r>
        <w:rPr>
          <w:rFonts w:hint="eastAsia"/>
          <w:highlight w:val="none"/>
          <w:lang w:val="en-US" w:eastAsia="zh-CN"/>
        </w:rPr>
        <w:t>按照上级安排部署，</w:t>
      </w:r>
      <w:r>
        <w:rPr>
          <w:rFonts w:hint="eastAsia"/>
          <w:highlight w:val="none"/>
        </w:rPr>
        <w:t>强化高耗能高碳排放项目环境影响评价审批管理，推动将碳排放纳入环境影响评价，探索实行重大项目碳排放管理。推进企事业单位污染物和温室气体排放相关数据统一采集、相互补充、交叉校核。</w:t>
      </w:r>
      <w:r>
        <w:rPr>
          <w:rFonts w:hint="eastAsia"/>
          <w:highlight w:val="none"/>
          <w:shd w:val="clear"/>
          <w:lang w:val="en-US" w:eastAsia="zh-CN"/>
        </w:rPr>
        <w:t>配合上级</w:t>
      </w:r>
      <w:r>
        <w:rPr>
          <w:rFonts w:hint="eastAsia"/>
          <w:highlight w:val="none"/>
          <w:shd w:val="clear"/>
        </w:rPr>
        <w:t>将碳强度降低任务目标纳入生态环境保护督察范围，推动将应对气候变化相关工作存在的突出问题、碳达峰目标任务落实情况等纳入生态环境保护督察范畴，落实</w:t>
      </w:r>
      <w:r>
        <w:rPr>
          <w:rFonts w:hint="eastAsia"/>
          <w:highlight w:val="none"/>
          <w:shd w:val="clear"/>
          <w:lang w:val="en-US" w:eastAsia="zh-CN"/>
        </w:rPr>
        <w:t>扎赉诺尔区</w:t>
      </w:r>
      <w:r>
        <w:rPr>
          <w:rFonts w:hint="eastAsia"/>
          <w:highlight w:val="none"/>
          <w:shd w:val="clear"/>
        </w:rPr>
        <w:t>党委政府减碳降耗责任</w:t>
      </w:r>
      <w:r>
        <w:rPr>
          <w:rFonts w:hint="eastAsia"/>
          <w:highlight w:val="none"/>
        </w:rPr>
        <w:t>。</w:t>
      </w:r>
    </w:p>
    <w:p w14:paraId="4C9B3D72">
      <w:pPr>
        <w:pStyle w:val="3"/>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619" w:name="_TOC_250131"/>
      <w:bookmarkEnd w:id="619"/>
      <w:bookmarkStart w:id="620" w:name="_Toc12276"/>
      <w:bookmarkStart w:id="621" w:name="_Toc17795"/>
      <w:bookmarkStart w:id="622" w:name="_Toc20335"/>
      <w:bookmarkStart w:id="623" w:name="_Toc9479"/>
      <w:bookmarkStart w:id="624" w:name="_Toc11882"/>
      <w:bookmarkStart w:id="625" w:name="_Toc12107"/>
      <w:bookmarkStart w:id="626" w:name="_Toc88954822"/>
      <w:bookmarkStart w:id="627" w:name="_Toc9351"/>
      <w:bookmarkStart w:id="628" w:name="_Toc28086"/>
      <w:bookmarkStart w:id="629" w:name="_Toc10234"/>
      <w:bookmarkStart w:id="630" w:name="_Toc22392"/>
      <w:bookmarkStart w:id="631" w:name="_Toc22562"/>
      <w:bookmarkStart w:id="632" w:name="_Toc20000"/>
      <w:bookmarkStart w:id="633" w:name="_Toc5679"/>
      <w:bookmarkStart w:id="634" w:name="_Toc2808"/>
      <w:bookmarkStart w:id="635" w:name="_Toc8440"/>
      <w:bookmarkStart w:id="636" w:name="_Toc13306"/>
      <w:bookmarkStart w:id="637" w:name="_Toc1143"/>
      <w:bookmarkStart w:id="638" w:name="_Toc3517"/>
      <w:bookmarkStart w:id="639" w:name="_Toc88955365"/>
      <w:bookmarkStart w:id="640" w:name="_Toc1094"/>
      <w:bookmarkStart w:id="641" w:name="_Toc29956"/>
      <w:bookmarkStart w:id="642" w:name="_Toc12845"/>
      <w:bookmarkStart w:id="643" w:name="_Toc4110"/>
      <w:bookmarkStart w:id="644" w:name="_Toc9548"/>
      <w:bookmarkStart w:id="645" w:name="_Toc3001"/>
      <w:bookmarkStart w:id="646" w:name="_Toc14941"/>
      <w:bookmarkStart w:id="647" w:name="_Toc1938"/>
      <w:r>
        <w:rPr>
          <w:rFonts w:hint="eastAsia"/>
          <w:highlight w:val="none"/>
        </w:rPr>
        <w:t>加强协同控制，持续改善大气环境</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0EF322AD">
      <w:pPr>
        <w:pStyle w:val="4"/>
        <w:keepNext w:val="0"/>
        <w:keepLines w:val="0"/>
        <w:pageBreakBefore w:val="0"/>
        <w:widowControl/>
        <w:kinsoku/>
        <w:wordWrap/>
        <w:overflowPunct/>
        <w:topLinePunct w:val="0"/>
        <w:autoSpaceDE/>
        <w:autoSpaceDN/>
        <w:bidi w:val="0"/>
        <w:adjustRightInd/>
        <w:snapToGrid/>
        <w:spacing w:before="313" w:beforeLines="100" w:after="313" w:afterLines="100"/>
        <w:textAlignment w:val="auto"/>
        <w:rPr>
          <w:highlight w:val="none"/>
        </w:rPr>
      </w:pPr>
      <w:bookmarkStart w:id="648" w:name="_Toc88954823"/>
      <w:bookmarkStart w:id="649" w:name="_Toc88955366"/>
      <w:bookmarkStart w:id="650" w:name="_Toc23094"/>
      <w:bookmarkStart w:id="651" w:name="_Toc25621"/>
      <w:r>
        <w:rPr>
          <w:rFonts w:hint="eastAsia"/>
          <w:highlight w:val="none"/>
        </w:rPr>
        <w:t>开展多污染物协同控制</w:t>
      </w:r>
      <w:bookmarkEnd w:id="648"/>
      <w:bookmarkEnd w:id="649"/>
      <w:bookmarkEnd w:id="650"/>
      <w:bookmarkEnd w:id="651"/>
    </w:p>
    <w:p w14:paraId="4D4A2FA6">
      <w:pPr>
        <w:ind w:firstLine="640"/>
        <w:rPr>
          <w:highlight w:val="none"/>
        </w:rPr>
      </w:pPr>
      <w:bookmarkStart w:id="652" w:name="_TOC_250128"/>
      <w:bookmarkStart w:id="653" w:name="_Toc13696"/>
      <w:bookmarkStart w:id="654" w:name="_Toc30072"/>
      <w:bookmarkStart w:id="655" w:name="_Toc16501"/>
      <w:bookmarkStart w:id="656" w:name="_Toc2633"/>
      <w:bookmarkStart w:id="657" w:name="_Toc9537"/>
      <w:bookmarkStart w:id="658" w:name="_Toc25405"/>
      <w:bookmarkStart w:id="659" w:name="_Toc88955368"/>
      <w:bookmarkStart w:id="660" w:name="_Toc1635"/>
      <w:bookmarkStart w:id="661" w:name="_Toc28930"/>
      <w:bookmarkStart w:id="662" w:name="_Toc88954825"/>
      <w:bookmarkStart w:id="663" w:name="_Toc11709"/>
      <w:bookmarkStart w:id="664" w:name="_Toc31752"/>
      <w:bookmarkStart w:id="665" w:name="_Toc21940"/>
      <w:bookmarkStart w:id="666" w:name="_Toc19029"/>
      <w:bookmarkStart w:id="667" w:name="_Toc18467"/>
      <w:bookmarkStart w:id="668" w:name="_Toc31422"/>
      <w:bookmarkStart w:id="669" w:name="_Toc3971"/>
      <w:bookmarkStart w:id="670" w:name="_Toc29702"/>
      <w:bookmarkStart w:id="671" w:name="_Toc30098"/>
      <w:bookmarkStart w:id="672" w:name="_Toc23683"/>
      <w:bookmarkStart w:id="673" w:name="_Toc177"/>
      <w:bookmarkStart w:id="674" w:name="_Toc9875"/>
      <w:bookmarkStart w:id="675" w:name="_Toc25783"/>
      <w:bookmarkStart w:id="676" w:name="_Toc7255"/>
      <w:bookmarkStart w:id="677" w:name="_Toc13183"/>
      <w:r>
        <w:rPr>
          <w:rFonts w:hint="eastAsia"/>
          <w:highlight w:val="none"/>
        </w:rPr>
        <w:t>深入开展重点行业</w:t>
      </w:r>
      <w:bookmarkEnd w:id="652"/>
      <w:r>
        <w:rPr>
          <w:rFonts w:hint="eastAsia"/>
          <w:highlight w:val="none"/>
          <w:lang w:val="en-US" w:eastAsia="zh-CN"/>
        </w:rPr>
        <w:t>挥发性有机物</w:t>
      </w:r>
      <w:r>
        <w:rPr>
          <w:rFonts w:hint="eastAsia"/>
          <w:highlight w:val="none"/>
        </w:rPr>
        <w:t>治理</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hint="eastAsia"/>
          <w:highlight w:val="none"/>
          <w:lang w:eastAsia="zh-CN"/>
        </w:rPr>
        <w:t>。</w:t>
      </w:r>
      <w:r>
        <w:rPr>
          <w:rFonts w:hint="eastAsia"/>
          <w:highlight w:val="none"/>
          <w:lang w:val="en-US" w:eastAsia="zh-CN"/>
        </w:rPr>
        <w:t>推进行业开展挥发性有机物综合治理，加快实施低挥发性有机物含量原辅材料替代。开展简易低效挥发性有机物治理设施清理整顿，强化挥发性有机物无组织排放整治、加强非正常工况废气排放管控，推进涉挥发性有机物产业集群整治提升。实施VOCs排放总量控制。</w:t>
      </w:r>
    </w:p>
    <w:p w14:paraId="6FB7CD0D">
      <w:pPr>
        <w:spacing w:before="156" w:after="156"/>
        <w:ind w:firstLine="640"/>
        <w:rPr>
          <w:rFonts w:hint="eastAsia"/>
          <w:highlight w:val="none"/>
        </w:rPr>
      </w:pPr>
      <w:bookmarkStart w:id="678" w:name="_TOC_250127"/>
      <w:bookmarkEnd w:id="678"/>
      <w:r>
        <w:rPr>
          <w:rFonts w:hint="eastAsia"/>
          <w:highlight w:val="none"/>
          <w:lang w:val="en-US" w:eastAsia="zh-CN"/>
        </w:rPr>
        <w:t>配合上级协同打好臭氧污染治理攻坚战。加大锅炉、移动源氮氧化物减排力度。</w:t>
      </w:r>
      <w:r>
        <w:rPr>
          <w:rFonts w:hint="eastAsia"/>
          <w:highlight w:val="none"/>
        </w:rPr>
        <w:t>实施含氢氯氟烃（HCFCs）淘汰和替代，将氢氟碳化物（HFCs）生产和消费量冻结在基线水平，根据呼伦贝尔市要求推动三氟甲烷（HFC-23）的销毁。</w:t>
      </w:r>
    </w:p>
    <w:p w14:paraId="0ACBFB4E">
      <w:pPr>
        <w:spacing w:before="156" w:after="156"/>
        <w:ind w:firstLine="640"/>
        <w:rPr>
          <w:rFonts w:hint="eastAsia"/>
          <w:highlight w:val="none"/>
          <w:lang w:val="en-US" w:eastAsia="zh-CN"/>
        </w:rPr>
      </w:pPr>
      <w:bookmarkStart w:id="679" w:name="_TOC_250126"/>
      <w:bookmarkEnd w:id="679"/>
      <w:bookmarkStart w:id="680" w:name="_Toc14572"/>
      <w:bookmarkStart w:id="681" w:name="_Toc25181"/>
      <w:bookmarkStart w:id="682" w:name="_Toc9250"/>
      <w:bookmarkStart w:id="683" w:name="_Toc88954827"/>
      <w:bookmarkStart w:id="684" w:name="_Toc4245"/>
      <w:bookmarkStart w:id="685" w:name="_Toc13571"/>
      <w:bookmarkStart w:id="686" w:name="_Toc4185"/>
      <w:bookmarkStart w:id="687" w:name="_Toc16966"/>
      <w:bookmarkStart w:id="688" w:name="_Toc13502"/>
      <w:bookmarkStart w:id="689" w:name="_Toc18169"/>
      <w:bookmarkStart w:id="690" w:name="_Toc1705"/>
      <w:bookmarkStart w:id="691" w:name="_Toc6076"/>
      <w:bookmarkStart w:id="692" w:name="_Toc88955370"/>
      <w:bookmarkStart w:id="693" w:name="_Toc26767"/>
      <w:bookmarkStart w:id="694" w:name="_Toc28249"/>
      <w:bookmarkStart w:id="695" w:name="_Toc8428"/>
      <w:bookmarkStart w:id="696" w:name="_Toc16729"/>
      <w:bookmarkStart w:id="697" w:name="_Toc4288"/>
      <w:bookmarkStart w:id="698" w:name="_Toc8463"/>
      <w:bookmarkStart w:id="699" w:name="_Toc23026"/>
      <w:bookmarkStart w:id="700" w:name="_Toc19969"/>
      <w:bookmarkStart w:id="701" w:name="_Toc14521"/>
      <w:bookmarkStart w:id="702" w:name="_Toc21683"/>
      <w:bookmarkStart w:id="703" w:name="_Toc27191"/>
      <w:bookmarkStart w:id="704" w:name="_Toc14848"/>
      <w:bookmarkStart w:id="705" w:name="_Toc12593"/>
      <w:bookmarkStart w:id="706" w:name="_Toc14736"/>
      <w:r>
        <w:rPr>
          <w:rFonts w:hint="default"/>
          <w:highlight w:val="none"/>
        </w:rPr>
        <w:t>加大有毒有害及恶臭污染防控</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rFonts w:hint="eastAsia"/>
          <w:highlight w:val="none"/>
          <w:lang w:val="en-US" w:eastAsia="zh-CN"/>
        </w:rPr>
        <w:t>。开展NH3排放控制，推进规模化以上养殖业、种植业大气氨减排，加强源头防控，优化化肥、饲料结构，结合国家认可的最新技术逐步推进重点行业大气氨污染防治技术工程建设，强化烟气脱硝氨逃逸防控。加强恶臭深度治理，鼓励开展恶臭投诉重点企业监测。加强生物质锅炉燃料品质及排放管控，禁止使用劣质燃料或掺烧垃圾、工业固废等，对污染物排放不能稳定达到锅炉排放标准的生物质锅炉进行整改或淘汰。</w:t>
      </w:r>
    </w:p>
    <w:p w14:paraId="6EBFB516">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707" w:name="_Toc31807"/>
      <w:bookmarkStart w:id="708" w:name="_Toc88955371"/>
      <w:bookmarkStart w:id="709" w:name="_Toc20471"/>
      <w:bookmarkStart w:id="710" w:name="_Toc88954828"/>
      <w:r>
        <w:rPr>
          <w:rFonts w:hint="eastAsia"/>
          <w:highlight w:val="none"/>
        </w:rPr>
        <w:t>持续推进重点污染源治理</w:t>
      </w:r>
      <w:bookmarkEnd w:id="707"/>
      <w:bookmarkEnd w:id="708"/>
      <w:bookmarkEnd w:id="709"/>
      <w:bookmarkEnd w:id="710"/>
    </w:p>
    <w:p w14:paraId="067EA21E">
      <w:pPr>
        <w:ind w:firstLine="640"/>
        <w:rPr>
          <w:highlight w:val="none"/>
        </w:rPr>
      </w:pPr>
      <w:bookmarkStart w:id="711" w:name="_Toc11463"/>
      <w:bookmarkStart w:id="712" w:name="_Toc222"/>
      <w:bookmarkStart w:id="713" w:name="_Toc88954830"/>
      <w:bookmarkStart w:id="714" w:name="_Toc18999"/>
      <w:bookmarkStart w:id="715" w:name="_Toc22593"/>
      <w:bookmarkStart w:id="716" w:name="_Toc6363"/>
      <w:bookmarkStart w:id="717" w:name="_Toc9665"/>
      <w:bookmarkStart w:id="718" w:name="_Toc6276"/>
      <w:bookmarkStart w:id="719" w:name="_Toc6856"/>
      <w:bookmarkStart w:id="720" w:name="_Toc30248"/>
      <w:bookmarkStart w:id="721" w:name="_Toc25758"/>
      <w:bookmarkStart w:id="722" w:name="_Toc29831"/>
      <w:bookmarkStart w:id="723" w:name="_Toc8220"/>
      <w:bookmarkStart w:id="724" w:name="_Toc22416"/>
      <w:bookmarkStart w:id="725" w:name="_Toc88955373"/>
      <w:bookmarkStart w:id="726" w:name="_Toc17623"/>
      <w:bookmarkStart w:id="727" w:name="_Toc3232"/>
      <w:bookmarkStart w:id="728" w:name="_Toc14655"/>
      <w:bookmarkStart w:id="729" w:name="_Toc20190"/>
      <w:bookmarkStart w:id="730" w:name="_Toc15474"/>
      <w:bookmarkStart w:id="731" w:name="_Toc10154"/>
      <w:bookmarkStart w:id="732" w:name="_Toc30628"/>
      <w:bookmarkStart w:id="733" w:name="_Toc27511"/>
      <w:bookmarkStart w:id="734" w:name="_Toc19194"/>
      <w:bookmarkStart w:id="735" w:name="_Toc7207"/>
      <w:bookmarkStart w:id="736" w:name="_Toc19719"/>
      <w:bookmarkStart w:id="737" w:name="_Toc10338"/>
      <w:r>
        <w:rPr>
          <w:rFonts w:hint="eastAsia"/>
          <w:highlight w:val="none"/>
        </w:rPr>
        <w:t>推进重点行业深度治理</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hint="eastAsia"/>
          <w:highlight w:val="none"/>
          <w:lang w:eastAsia="zh-CN"/>
        </w:rPr>
        <w:t>。</w:t>
      </w:r>
      <w:r>
        <w:rPr>
          <w:rFonts w:hint="eastAsia"/>
          <w:highlight w:val="none"/>
          <w:lang w:val="en-US" w:eastAsia="zh-CN"/>
        </w:rPr>
        <w:t>严格控制</w:t>
      </w:r>
      <w:r>
        <w:rPr>
          <w:rFonts w:hint="eastAsia"/>
          <w:highlight w:val="none"/>
        </w:rPr>
        <w:t>砖瓦、石灰等行业生产过程无组织排放。</w:t>
      </w:r>
      <w:r>
        <w:rPr>
          <w:rFonts w:hint="eastAsia"/>
          <w:highlight w:val="none"/>
          <w:lang w:val="en-US" w:eastAsia="zh-CN"/>
        </w:rPr>
        <w:t>实施</w:t>
      </w:r>
      <w:r>
        <w:rPr>
          <w:rFonts w:hint="eastAsia"/>
          <w:highlight w:val="none"/>
        </w:rPr>
        <w:t>工业炉窑</w:t>
      </w:r>
      <w:r>
        <w:rPr>
          <w:rFonts w:hint="eastAsia"/>
          <w:highlight w:val="none"/>
          <w:lang w:val="en-US" w:eastAsia="zh-CN"/>
        </w:rPr>
        <w:t>提标</w:t>
      </w:r>
      <w:r>
        <w:rPr>
          <w:rFonts w:hint="eastAsia"/>
          <w:highlight w:val="none"/>
        </w:rPr>
        <w:t>治理，加快</w:t>
      </w:r>
      <w:r>
        <w:rPr>
          <w:rFonts w:hint="eastAsia"/>
          <w:highlight w:val="none"/>
          <w:lang w:val="en-US" w:eastAsia="zh-CN"/>
        </w:rPr>
        <w:t>淘汰热</w:t>
      </w:r>
      <w:r>
        <w:rPr>
          <w:rFonts w:hint="eastAsia"/>
          <w:highlight w:val="none"/>
        </w:rPr>
        <w:t>效率低下</w:t>
      </w:r>
      <w:r>
        <w:rPr>
          <w:rFonts w:hint="eastAsia"/>
          <w:highlight w:val="none"/>
          <w:lang w:eastAsia="zh-CN"/>
        </w:rPr>
        <w:t>、</w:t>
      </w:r>
      <w:r>
        <w:rPr>
          <w:rFonts w:hint="eastAsia"/>
          <w:highlight w:val="none"/>
          <w:lang w:val="en-US" w:eastAsia="zh-CN"/>
        </w:rPr>
        <w:t>治理设施工艺落后</w:t>
      </w:r>
      <w:r>
        <w:rPr>
          <w:rFonts w:hint="eastAsia"/>
          <w:highlight w:val="none"/>
        </w:rPr>
        <w:t>的工业</w:t>
      </w:r>
      <w:r>
        <w:rPr>
          <w:rFonts w:hint="eastAsia" w:hAnsi="黑体" w:cs="Times New Roman"/>
          <w:bCs/>
          <w:szCs w:val="32"/>
          <w:highlight w:val="none"/>
        </w:rPr>
        <w:t>炉窑</w:t>
      </w:r>
      <w:r>
        <w:rPr>
          <w:rFonts w:hint="eastAsia"/>
          <w:highlight w:val="none"/>
        </w:rPr>
        <w:t>。禁止新建燃料类煤气发生炉，现有企业分散式煤气发生炉全部淘汰。重点涉气排放企业逐步取消烟气旁路，因安全生产无法取消的，安装在线监</w:t>
      </w:r>
      <w:r>
        <w:rPr>
          <w:rFonts w:hint="eastAsia"/>
          <w:highlight w:val="none"/>
          <w:lang w:val="en-US" w:eastAsia="zh-CN"/>
        </w:rPr>
        <w:t>控</w:t>
      </w:r>
      <w:r>
        <w:rPr>
          <w:rFonts w:hint="eastAsia"/>
          <w:highlight w:val="none"/>
        </w:rPr>
        <w:t>系统。</w:t>
      </w:r>
    </w:p>
    <w:p w14:paraId="1EB49475">
      <w:pPr>
        <w:ind w:firstLine="640"/>
        <w:rPr>
          <w:highlight w:val="none"/>
        </w:rPr>
      </w:pPr>
      <w:bookmarkStart w:id="738" w:name="_TOC_250123"/>
      <w:bookmarkEnd w:id="738"/>
      <w:bookmarkStart w:id="739" w:name="_Toc14985"/>
      <w:bookmarkStart w:id="740" w:name="_Toc718"/>
      <w:bookmarkStart w:id="741" w:name="_Toc24042"/>
      <w:bookmarkStart w:id="742" w:name="_Toc106"/>
      <w:bookmarkStart w:id="743" w:name="_Toc88955374"/>
      <w:bookmarkStart w:id="744" w:name="_Toc21889"/>
      <w:bookmarkStart w:id="745" w:name="_Toc20689"/>
      <w:bookmarkStart w:id="746" w:name="_Toc15602"/>
      <w:bookmarkStart w:id="747" w:name="_Toc15948"/>
      <w:bookmarkStart w:id="748" w:name="_Toc29786"/>
      <w:bookmarkStart w:id="749" w:name="_Toc4881"/>
      <w:bookmarkStart w:id="750" w:name="_Toc18588"/>
      <w:bookmarkStart w:id="751" w:name="_Toc15516"/>
      <w:bookmarkStart w:id="752" w:name="_Toc19035"/>
      <w:bookmarkStart w:id="753" w:name="_Toc15311"/>
      <w:bookmarkStart w:id="754" w:name="_Toc15060"/>
      <w:bookmarkStart w:id="755" w:name="_Toc30297"/>
      <w:bookmarkStart w:id="756" w:name="_Toc31582"/>
      <w:bookmarkStart w:id="757" w:name="_Toc88954831"/>
      <w:bookmarkStart w:id="758" w:name="_Toc14193"/>
      <w:bookmarkStart w:id="759" w:name="_Toc27917"/>
      <w:bookmarkStart w:id="760" w:name="_Toc30707"/>
      <w:bookmarkStart w:id="761" w:name="_Toc11917"/>
      <w:bookmarkStart w:id="762" w:name="_Toc16624"/>
      <w:bookmarkStart w:id="763" w:name="_Toc5260"/>
      <w:bookmarkStart w:id="764" w:name="_Toc16072"/>
      <w:bookmarkStart w:id="765" w:name="_Toc16190"/>
      <w:r>
        <w:rPr>
          <w:rFonts w:hint="eastAsia"/>
          <w:highlight w:val="none"/>
        </w:rPr>
        <w:t>持续开展清洁取暖改造</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Fonts w:hint="eastAsia"/>
          <w:highlight w:val="none"/>
          <w:lang w:eastAsia="zh-CN"/>
        </w:rPr>
        <w:t>。</w:t>
      </w:r>
      <w:r>
        <w:rPr>
          <w:rFonts w:hint="eastAsia"/>
          <w:highlight w:val="none"/>
        </w:rPr>
        <w:t>持续推进清洁取暖改造</w:t>
      </w:r>
      <w:r>
        <w:rPr>
          <w:rFonts w:hint="eastAsia"/>
          <w:highlight w:val="none"/>
          <w:lang w:eastAsia="zh-CN"/>
        </w:rPr>
        <w:t>，</w:t>
      </w:r>
      <w:r>
        <w:rPr>
          <w:rFonts w:hint="eastAsia"/>
          <w:highlight w:val="none"/>
          <w:lang w:val="en-US" w:eastAsia="zh-CN"/>
        </w:rPr>
        <w:t>科学优化热源布局，加快推进高质量集中供热和清洁能源替换，</w:t>
      </w:r>
      <w:r>
        <w:rPr>
          <w:rFonts w:hint="eastAsia"/>
          <w:highlight w:val="none"/>
        </w:rPr>
        <w:t>实施小散燃煤热源替代，鼓励采取太阳能+风能多能互补</w:t>
      </w:r>
      <w:r>
        <w:rPr>
          <w:rFonts w:hint="eastAsia" w:hAnsi="黑体" w:cs="Times New Roman"/>
          <w:bCs/>
          <w:szCs w:val="32"/>
          <w:highlight w:val="none"/>
        </w:rPr>
        <w:t>清洁</w:t>
      </w:r>
      <w:r>
        <w:rPr>
          <w:rFonts w:hint="eastAsia"/>
          <w:highlight w:val="none"/>
        </w:rPr>
        <w:t>取暖，推进燃煤热源清洁化改造。对已完成清洁取暖改造的依法划定为高污染燃料禁燃区，并制定实施相关配套政策措施</w:t>
      </w:r>
      <w:r>
        <w:rPr>
          <w:rFonts w:hint="eastAsia"/>
          <w:highlight w:val="none"/>
          <w:lang w:eastAsia="zh-CN"/>
        </w:rPr>
        <w:t>，</w:t>
      </w:r>
      <w:r>
        <w:rPr>
          <w:rFonts w:hint="eastAsia"/>
          <w:highlight w:val="none"/>
          <w:lang w:val="en-US" w:eastAsia="zh-CN"/>
        </w:rPr>
        <w:t>城镇清洁取暖率逐年提升</w:t>
      </w:r>
      <w:r>
        <w:rPr>
          <w:rFonts w:hint="eastAsia"/>
          <w:highlight w:val="none"/>
        </w:rPr>
        <w:t>。</w:t>
      </w:r>
    </w:p>
    <w:p w14:paraId="535E1DF1">
      <w:pPr>
        <w:ind w:firstLine="640"/>
        <w:rPr>
          <w:sz w:val="30"/>
          <w:highlight w:val="none"/>
        </w:rPr>
      </w:pPr>
      <w:bookmarkStart w:id="766" w:name="_TOC_250122"/>
      <w:bookmarkEnd w:id="766"/>
      <w:bookmarkStart w:id="767" w:name="_Toc18483"/>
      <w:bookmarkStart w:id="768" w:name="_Toc88955375"/>
      <w:bookmarkStart w:id="769" w:name="_Toc21631"/>
      <w:bookmarkStart w:id="770" w:name="_Toc26258"/>
      <w:bookmarkStart w:id="771" w:name="_Toc7980"/>
      <w:bookmarkStart w:id="772" w:name="_Toc1784"/>
      <w:bookmarkStart w:id="773" w:name="_Toc27003"/>
      <w:bookmarkStart w:id="774" w:name="_Toc5989"/>
      <w:bookmarkStart w:id="775" w:name="_Toc7289"/>
      <w:bookmarkStart w:id="776" w:name="_Toc31517"/>
      <w:bookmarkStart w:id="777" w:name="_Toc7704"/>
      <w:bookmarkStart w:id="778" w:name="_Toc11883"/>
      <w:bookmarkStart w:id="779" w:name="_Toc1064"/>
      <w:bookmarkStart w:id="780" w:name="_Toc18652"/>
      <w:bookmarkStart w:id="781" w:name="_Toc19862"/>
      <w:bookmarkStart w:id="782" w:name="_Toc22833"/>
      <w:bookmarkStart w:id="783" w:name="_Toc4119"/>
      <w:bookmarkStart w:id="784" w:name="_Toc842"/>
      <w:bookmarkStart w:id="785" w:name="_Toc1227"/>
      <w:bookmarkStart w:id="786" w:name="_Toc8246"/>
      <w:bookmarkStart w:id="787" w:name="_Toc16051"/>
      <w:bookmarkStart w:id="788" w:name="_Toc88954832"/>
      <w:bookmarkStart w:id="789" w:name="_Toc4168"/>
      <w:bookmarkStart w:id="790" w:name="_Toc18364"/>
      <w:bookmarkStart w:id="791" w:name="_Toc6808"/>
      <w:bookmarkStart w:id="792" w:name="_Toc5547"/>
      <w:bookmarkStart w:id="793" w:name="_Toc24004"/>
      <w:r>
        <w:rPr>
          <w:rFonts w:hint="eastAsia"/>
          <w:highlight w:val="none"/>
        </w:rPr>
        <w:t>推进燃煤锅炉污染治理</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Pr>
          <w:rFonts w:hint="eastAsia"/>
          <w:highlight w:val="none"/>
          <w:lang w:eastAsia="zh-CN"/>
        </w:rPr>
        <w:t>。</w:t>
      </w:r>
      <w:r>
        <w:rPr>
          <w:rFonts w:hint="eastAsia"/>
          <w:highlight w:val="none"/>
        </w:rPr>
        <w:t>加大燃煤小锅炉淘汰力度，</w:t>
      </w:r>
      <w:r>
        <w:rPr>
          <w:rFonts w:hint="eastAsia"/>
          <w:highlight w:val="none"/>
          <w:lang w:val="en-US" w:eastAsia="zh-CN"/>
        </w:rPr>
        <w:t>持续</w:t>
      </w:r>
      <w:r>
        <w:rPr>
          <w:rFonts w:hint="eastAsia"/>
          <w:highlight w:val="none"/>
        </w:rPr>
        <w:t>开展供热燃煤锅炉排查</w:t>
      </w:r>
      <w:r>
        <w:rPr>
          <w:rFonts w:hint="eastAsia"/>
          <w:highlight w:val="none"/>
          <w:lang w:eastAsia="zh-CN"/>
        </w:rPr>
        <w:t>。</w:t>
      </w:r>
      <w:r>
        <w:rPr>
          <w:rFonts w:hint="eastAsia"/>
          <w:highlight w:val="none"/>
          <w:lang w:val="en-US" w:eastAsia="zh-CN"/>
        </w:rPr>
        <w:t>开展重点工业企业20蒸吨以上燃煤锅炉达标排放整治。区内新建和具备改造条件的65</w:t>
      </w:r>
      <w:r>
        <w:rPr>
          <w:rFonts w:hint="eastAsia"/>
          <w:highlight w:val="none"/>
        </w:rPr>
        <w:t>蒸吨/小时</w:t>
      </w:r>
      <w:r>
        <w:rPr>
          <w:rFonts w:hint="eastAsia"/>
          <w:highlight w:val="none"/>
          <w:lang w:val="en-US" w:eastAsia="zh-CN"/>
        </w:rPr>
        <w:t>及以上</w:t>
      </w:r>
      <w:r>
        <w:rPr>
          <w:rFonts w:hint="eastAsia"/>
          <w:highlight w:val="none"/>
        </w:rPr>
        <w:t>的燃煤锅炉</w:t>
      </w:r>
      <w:r>
        <w:rPr>
          <w:rFonts w:hint="eastAsia"/>
          <w:highlight w:val="none"/>
          <w:lang w:val="en-US" w:eastAsia="zh-CN"/>
        </w:rPr>
        <w:t>基本完成超低排放改造</w:t>
      </w:r>
      <w:r>
        <w:rPr>
          <w:rFonts w:hint="eastAsia"/>
          <w:highlight w:val="none"/>
        </w:rPr>
        <w:t>。加快推进燃气锅炉低氮改造。持续强化生物质成型燃料锅炉管控</w:t>
      </w:r>
      <w:r>
        <w:rPr>
          <w:rFonts w:hint="eastAsia"/>
          <w:highlight w:val="none"/>
          <w:lang w:val="en-US" w:eastAsia="zh-CN"/>
        </w:rPr>
        <w:t>工作</w:t>
      </w:r>
      <w:r>
        <w:rPr>
          <w:rFonts w:hint="eastAsia"/>
          <w:highlight w:val="none"/>
        </w:rPr>
        <w:t>。</w:t>
      </w:r>
    </w:p>
    <w:p w14:paraId="79CCA604">
      <w:pPr>
        <w:ind w:firstLine="640"/>
        <w:rPr>
          <w:highlight w:val="none"/>
        </w:rPr>
      </w:pPr>
      <w:bookmarkStart w:id="794" w:name="_TOC_250121"/>
      <w:bookmarkEnd w:id="794"/>
      <w:bookmarkStart w:id="795" w:name="_Toc27578"/>
      <w:bookmarkStart w:id="796" w:name="_Toc289"/>
      <w:bookmarkStart w:id="797" w:name="_Toc10749"/>
      <w:bookmarkStart w:id="798" w:name="_Toc1294"/>
      <w:bookmarkStart w:id="799" w:name="_Toc17177"/>
      <w:bookmarkStart w:id="800" w:name="_Toc1957"/>
      <w:bookmarkStart w:id="801" w:name="_Toc9519"/>
      <w:bookmarkStart w:id="802" w:name="_Toc20560"/>
      <w:bookmarkStart w:id="803" w:name="_Toc30552"/>
      <w:bookmarkStart w:id="804" w:name="_Toc27575"/>
      <w:bookmarkStart w:id="805" w:name="_Toc17772"/>
      <w:bookmarkStart w:id="806" w:name="_Toc18458"/>
      <w:bookmarkStart w:id="807" w:name="_Toc32280"/>
      <w:bookmarkStart w:id="808" w:name="_Toc23323"/>
      <w:bookmarkStart w:id="809" w:name="_Toc18477"/>
      <w:bookmarkStart w:id="810" w:name="_Toc24735"/>
      <w:bookmarkStart w:id="811" w:name="_Toc26633"/>
      <w:bookmarkStart w:id="812" w:name="_Toc678"/>
      <w:bookmarkStart w:id="813" w:name="_Toc31840"/>
      <w:bookmarkStart w:id="814" w:name="_Toc22060"/>
      <w:bookmarkStart w:id="815" w:name="_Toc15634"/>
      <w:bookmarkStart w:id="816" w:name="_Toc25950"/>
      <w:bookmarkStart w:id="817" w:name="_Toc28322"/>
      <w:bookmarkStart w:id="818" w:name="_Toc11680"/>
      <w:bookmarkStart w:id="819" w:name="_Toc88954833"/>
      <w:bookmarkStart w:id="820" w:name="_Toc88955376"/>
      <w:bookmarkStart w:id="821" w:name="_Toc17931"/>
      <w:r>
        <w:rPr>
          <w:rFonts w:hint="eastAsia"/>
          <w:highlight w:val="none"/>
        </w:rPr>
        <w:t>推进</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hint="eastAsia"/>
          <w:highlight w:val="none"/>
        </w:rPr>
        <w:t>交通运输污染全面治理</w:t>
      </w:r>
      <w:bookmarkEnd w:id="818"/>
      <w:bookmarkEnd w:id="819"/>
      <w:bookmarkEnd w:id="820"/>
      <w:bookmarkEnd w:id="821"/>
      <w:r>
        <w:rPr>
          <w:rFonts w:hint="eastAsia"/>
          <w:highlight w:val="none"/>
          <w:lang w:eastAsia="zh-CN"/>
        </w:rPr>
        <w:t>。</w:t>
      </w:r>
      <w:r>
        <w:rPr>
          <w:rFonts w:hint="eastAsia"/>
          <w:highlight w:val="none"/>
          <w:lang w:val="en-US" w:eastAsia="zh-CN"/>
        </w:rPr>
        <w:t>积极推进机动车和非道路移动机械排气污染防治，综合采取车辆注销报废、排放检验、尾气提标治理等措施，继续推进老旧车辆淘汰更新。加大非道路移动机械等高污染车辆治理力度。</w:t>
      </w:r>
      <w:r>
        <w:rPr>
          <w:rFonts w:hint="eastAsia"/>
          <w:highlight w:val="none"/>
        </w:rPr>
        <w:t>开展新生产机动车、发动机、非道路移动机械监督检查，</w:t>
      </w:r>
      <w:r>
        <w:rPr>
          <w:rFonts w:hint="eastAsia"/>
          <w:highlight w:val="none"/>
          <w:lang w:val="en-US" w:eastAsia="zh-CN"/>
        </w:rPr>
        <w:t>基本消除未登记或冒黑烟工程机械。</w:t>
      </w:r>
      <w:r>
        <w:rPr>
          <w:rFonts w:hint="eastAsia"/>
          <w:highlight w:val="none"/>
        </w:rPr>
        <w:t>推进油品持续升级，禁止以化工原料名义出售调和油组分，禁止以化工原料勾兑调和油，严禁运输企业和工矿企业储存、使用非标油，以物流基地、货运车辆停车场和休息区、油品运输车、施工工地等为重点，持续集中打击和清理取缔黑加油站、流动加油车。加大油气回收治理力度，2025年底前，储油库全面安装油气回收自动监控设备并与生态环境部门联网，严厉打击黑加油站和非标油生产企业。</w:t>
      </w:r>
    </w:p>
    <w:p w14:paraId="59E09F83">
      <w:pPr>
        <w:widowControl/>
        <w:spacing w:before="0" w:beforeLines="-2147483648" w:after="0" w:afterLines="-2147483648"/>
        <w:ind w:firstLine="640"/>
        <w:rPr>
          <w:rFonts w:ascii="仿宋_GB2312" w:hAnsi="仿宋_GB2312" w:cs="仿宋_GB2312"/>
          <w:szCs w:val="32"/>
          <w:highlight w:val="none"/>
        </w:rPr>
      </w:pPr>
      <w:bookmarkStart w:id="822" w:name="_TOC_250120"/>
      <w:bookmarkEnd w:id="822"/>
      <w:bookmarkStart w:id="823" w:name="_Toc12712"/>
      <w:bookmarkStart w:id="824" w:name="_Toc29357"/>
      <w:bookmarkStart w:id="825" w:name="_Toc9622"/>
      <w:bookmarkStart w:id="826" w:name="_Toc31611"/>
      <w:bookmarkStart w:id="827" w:name="_Toc3890"/>
      <w:bookmarkStart w:id="828" w:name="_Toc7601"/>
      <w:bookmarkStart w:id="829" w:name="_Toc1074"/>
      <w:bookmarkStart w:id="830" w:name="_Toc26174"/>
      <w:bookmarkStart w:id="831" w:name="_Toc24634"/>
      <w:bookmarkStart w:id="832" w:name="_Toc8893"/>
      <w:bookmarkStart w:id="833" w:name="_Toc267"/>
      <w:bookmarkStart w:id="834" w:name="_Toc24519"/>
      <w:bookmarkStart w:id="835" w:name="_Toc32636"/>
      <w:bookmarkStart w:id="836" w:name="_Toc29641"/>
      <w:bookmarkStart w:id="837" w:name="_Toc26165"/>
      <w:bookmarkStart w:id="838" w:name="_Toc8129"/>
      <w:bookmarkStart w:id="839" w:name="_Toc28690"/>
      <w:bookmarkStart w:id="840" w:name="_Toc21441"/>
      <w:bookmarkStart w:id="841" w:name="_Toc14211"/>
      <w:bookmarkStart w:id="842" w:name="_Toc18757"/>
      <w:bookmarkStart w:id="843" w:name="_Toc31962"/>
      <w:bookmarkStart w:id="844" w:name="_Toc19180"/>
      <w:bookmarkStart w:id="845" w:name="_Toc9168"/>
      <w:bookmarkStart w:id="846" w:name="_Toc14430"/>
      <w:bookmarkStart w:id="847" w:name="_Toc10570"/>
      <w:bookmarkStart w:id="848" w:name="_Toc88955377"/>
      <w:bookmarkStart w:id="849" w:name="_Toc88954834"/>
      <w:r>
        <w:rPr>
          <w:rFonts w:hint="eastAsia" w:ascii="仿宋_GB2312" w:hAnsi="仿宋_GB2312" w:cs="仿宋_GB2312"/>
          <w:szCs w:val="32"/>
          <w:highlight w:val="none"/>
        </w:rPr>
        <w:t>推进低空</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hint="eastAsia" w:ascii="仿宋_GB2312" w:hAnsi="仿宋_GB2312" w:cs="仿宋_GB2312"/>
          <w:szCs w:val="32"/>
          <w:highlight w:val="none"/>
        </w:rPr>
        <w:t>扬尘污染综合防治</w:t>
      </w:r>
      <w:bookmarkEnd w:id="846"/>
      <w:bookmarkEnd w:id="847"/>
      <w:bookmarkEnd w:id="848"/>
      <w:bookmarkEnd w:id="849"/>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建立施工工地管理清单和扬尘控制责任制度，做到工地周边围挡、物料堆放覆盖、土方开挖湿法作业、路面硬化、出入车辆清洗、渣土车辆密闭运输</w:t>
      </w:r>
      <w:r>
        <w:rPr>
          <w:rFonts w:hint="eastAsia" w:ascii="仿宋_GB2312" w:hAnsi="仿宋_GB2312" w:cs="仿宋_GB2312"/>
          <w:szCs w:val="32"/>
          <w:highlight w:val="none"/>
        </w:rPr>
        <w:t>“六个百分之百”。强化</w:t>
      </w:r>
      <w:r>
        <w:rPr>
          <w:rFonts w:hint="eastAsia" w:ascii="仿宋_GB2312" w:hAnsi="仿宋_GB2312" w:cs="仿宋_GB2312"/>
          <w:szCs w:val="32"/>
          <w:highlight w:val="none"/>
          <w:lang w:val="en-US" w:eastAsia="zh-CN"/>
        </w:rPr>
        <w:t>城区</w:t>
      </w:r>
      <w:r>
        <w:rPr>
          <w:rFonts w:hint="eastAsia" w:ascii="仿宋_GB2312" w:hAnsi="仿宋_GB2312" w:cs="仿宋_GB2312"/>
          <w:szCs w:val="32"/>
          <w:highlight w:val="none"/>
        </w:rPr>
        <w:t>道路扬尘管控，规范道路清扫保洁作业规程，提高春季清扫频次。</w:t>
      </w:r>
      <w:r>
        <w:rPr>
          <w:rFonts w:hint="eastAsia" w:ascii="仿宋_GB2312" w:hAnsi="仿宋_GB2312" w:cs="仿宋_GB2312"/>
          <w:szCs w:val="32"/>
          <w:highlight w:val="none"/>
          <w:lang w:val="en-US" w:eastAsia="zh-CN"/>
        </w:rPr>
        <w:t>加强城市裸露地面。堆场、料场规范化整治，确保扬尘污染防治措施落实到位。加快推进绿色矿山建设，加大露天矿山综合整治力度，</w:t>
      </w:r>
      <w:r>
        <w:rPr>
          <w:rFonts w:hint="eastAsia" w:ascii="仿宋_GB2312" w:hAnsi="仿宋_GB2312" w:cs="仿宋_GB2312"/>
          <w:szCs w:val="32"/>
          <w:highlight w:val="none"/>
        </w:rPr>
        <w:t>强化矿山开采、储</w:t>
      </w:r>
      <w:r>
        <w:rPr>
          <w:rFonts w:hint="eastAsia" w:ascii="仿宋_GB2312" w:hAnsi="仿宋_GB2312" w:cs="仿宋_GB2312"/>
          <w:szCs w:val="32"/>
          <w:highlight w:val="none"/>
          <w:lang w:val="en-US" w:eastAsia="zh-CN"/>
        </w:rPr>
        <w:t>存</w:t>
      </w:r>
      <w:r>
        <w:rPr>
          <w:rFonts w:hint="eastAsia" w:ascii="仿宋_GB2312" w:hAnsi="仿宋_GB2312" w:cs="仿宋_GB2312"/>
          <w:szCs w:val="32"/>
          <w:highlight w:val="none"/>
        </w:rPr>
        <w:t>、装卸、转运全过程的污染</w:t>
      </w:r>
      <w:r>
        <w:rPr>
          <w:rFonts w:hint="eastAsia" w:ascii="仿宋_GB2312" w:hAnsi="仿宋_GB2312" w:cs="仿宋_GB2312"/>
          <w:szCs w:val="32"/>
          <w:highlight w:val="none"/>
          <w:lang w:val="en-US" w:eastAsia="zh-CN"/>
        </w:rPr>
        <w:t>防治</w:t>
      </w:r>
      <w:r>
        <w:rPr>
          <w:rFonts w:hint="eastAsia" w:ascii="仿宋_GB2312" w:hAnsi="仿宋_GB2312" w:cs="仿宋_GB2312"/>
          <w:szCs w:val="32"/>
          <w:highlight w:val="none"/>
        </w:rPr>
        <w:t>和降尘抑尘</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到2025年底前全部达到绿色矿山标准</w:t>
      </w:r>
      <w:r>
        <w:rPr>
          <w:rFonts w:hint="eastAsia" w:ascii="仿宋_GB2312" w:hAnsi="仿宋_GB2312" w:cs="仿宋_GB2312"/>
          <w:szCs w:val="32"/>
          <w:highlight w:val="none"/>
        </w:rPr>
        <w:t>。</w:t>
      </w:r>
    </w:p>
    <w:p w14:paraId="355270DB">
      <w:pPr>
        <w:pStyle w:val="4"/>
        <w:keepNext w:val="0"/>
        <w:keepLines w:val="0"/>
        <w:pageBreakBefore w:val="0"/>
        <w:widowControl/>
        <w:kinsoku/>
        <w:wordWrap/>
        <w:overflowPunct/>
        <w:topLinePunct w:val="0"/>
        <w:autoSpaceDE/>
        <w:autoSpaceDN/>
        <w:bidi w:val="0"/>
        <w:adjustRightInd/>
        <w:snapToGrid/>
        <w:spacing w:before="313" w:beforeLines="100" w:after="313" w:afterLines="100"/>
        <w:textAlignment w:val="auto"/>
        <w:rPr>
          <w:highlight w:val="none"/>
        </w:rPr>
      </w:pPr>
      <w:bookmarkStart w:id="850" w:name="_Toc88955378"/>
      <w:bookmarkStart w:id="851" w:name="_Toc19333"/>
      <w:bookmarkStart w:id="852" w:name="_Toc88954835"/>
      <w:bookmarkStart w:id="853" w:name="_Toc27434"/>
      <w:r>
        <w:rPr>
          <w:rFonts w:hint="eastAsia"/>
          <w:highlight w:val="none"/>
        </w:rPr>
        <w:t>加强重污染天气应急响应</w:t>
      </w:r>
      <w:bookmarkEnd w:id="850"/>
      <w:bookmarkEnd w:id="851"/>
      <w:bookmarkEnd w:id="852"/>
      <w:bookmarkEnd w:id="853"/>
    </w:p>
    <w:p w14:paraId="29724F08">
      <w:pPr>
        <w:widowControl/>
        <w:spacing w:before="156" w:beforeLines="50" w:after="156" w:afterLines="50"/>
        <w:ind w:firstLine="640"/>
        <w:rPr>
          <w:rFonts w:ascii="仿宋_GB2312" w:hAnsi="仿宋_GB2312" w:cs="仿宋_GB2312"/>
          <w:szCs w:val="32"/>
          <w:highlight w:val="none"/>
        </w:rPr>
      </w:pPr>
      <w:bookmarkStart w:id="854" w:name="_TOC_250117"/>
      <w:bookmarkEnd w:id="854"/>
      <w:bookmarkStart w:id="855" w:name="_TOC_250116"/>
      <w:bookmarkEnd w:id="855"/>
      <w:bookmarkStart w:id="856" w:name="_TOC_250118"/>
      <w:bookmarkEnd w:id="856"/>
      <w:bookmarkStart w:id="857" w:name="_TOC_250115"/>
      <w:bookmarkEnd w:id="857"/>
      <w:r>
        <w:rPr>
          <w:rFonts w:hint="eastAsia" w:ascii="仿宋_GB2312" w:hAnsi="仿宋_GB2312" w:cs="仿宋_GB2312"/>
          <w:szCs w:val="32"/>
          <w:highlight w:val="none"/>
        </w:rPr>
        <w:t>结合涉气企业治理水平，实行</w:t>
      </w:r>
      <w:r>
        <w:rPr>
          <w:rFonts w:hint="eastAsia" w:ascii="仿宋_GB2312" w:hAnsi="黑体" w:cs="Times New Roman"/>
          <w:bCs/>
          <w:szCs w:val="32"/>
          <w:highlight w:val="none"/>
        </w:rPr>
        <w:t>差异</w:t>
      </w:r>
      <w:r>
        <w:rPr>
          <w:rFonts w:hint="eastAsia" w:ascii="仿宋_GB2312" w:hAnsi="仿宋_GB2312" w:cs="仿宋_GB2312"/>
          <w:szCs w:val="32"/>
          <w:highlight w:val="none"/>
        </w:rPr>
        <w:t>化管控，突出精准减排，实现减排全覆盖，实施清单化管理，完善应急减排信息公开和公众监督渠道。加强预案管理，及时修编重污染天气应急预案</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科学制定针对性减排措施，提高重污染天气应对的有效性</w:t>
      </w:r>
      <w:r>
        <w:rPr>
          <w:rFonts w:hint="eastAsia" w:ascii="仿宋_GB2312" w:hAnsi="仿宋_GB2312" w:cs="仿宋_GB2312"/>
          <w:szCs w:val="32"/>
          <w:highlight w:val="none"/>
        </w:rPr>
        <w:t>。</w:t>
      </w:r>
    </w:p>
    <w:p w14:paraId="757B2A08">
      <w:pPr>
        <w:pStyle w:val="4"/>
        <w:keepNext w:val="0"/>
        <w:keepLines w:val="0"/>
        <w:pageBreakBefore w:val="0"/>
        <w:widowControl/>
        <w:kinsoku/>
        <w:wordWrap/>
        <w:overflowPunct/>
        <w:topLinePunct w:val="0"/>
        <w:autoSpaceDE/>
        <w:autoSpaceDN/>
        <w:bidi w:val="0"/>
        <w:adjustRightInd/>
        <w:snapToGrid/>
        <w:spacing w:before="313" w:beforeLines="100" w:after="313" w:afterLines="100"/>
        <w:textAlignment w:val="auto"/>
        <w:rPr>
          <w:highlight w:val="none"/>
        </w:rPr>
      </w:pPr>
      <w:bookmarkStart w:id="858" w:name="_Toc16750"/>
      <w:bookmarkStart w:id="859" w:name="_Toc30496"/>
      <w:bookmarkStart w:id="860" w:name="_Toc88955379"/>
      <w:bookmarkStart w:id="861" w:name="_Toc88954836"/>
      <w:r>
        <w:rPr>
          <w:rFonts w:hint="eastAsia"/>
          <w:highlight w:val="none"/>
        </w:rPr>
        <w:t>强化声环境质量管理</w:t>
      </w:r>
      <w:bookmarkEnd w:id="858"/>
      <w:bookmarkEnd w:id="859"/>
      <w:bookmarkEnd w:id="860"/>
      <w:bookmarkEnd w:id="861"/>
    </w:p>
    <w:p w14:paraId="75720090">
      <w:pPr>
        <w:ind w:firstLine="640"/>
        <w:rPr>
          <w:highlight w:val="none"/>
        </w:rPr>
      </w:pPr>
      <w:bookmarkStart w:id="862" w:name="_TOC_250114"/>
      <w:bookmarkEnd w:id="862"/>
      <w:r>
        <w:rPr>
          <w:rFonts w:hint="eastAsia"/>
          <w:highlight w:val="none"/>
          <w:lang w:val="en-US" w:eastAsia="zh-CN"/>
        </w:rPr>
        <w:t>按照上级安排部署，</w:t>
      </w:r>
      <w:r>
        <w:rPr>
          <w:rFonts w:hint="eastAsia"/>
          <w:highlight w:val="none"/>
        </w:rPr>
        <w:t>优化重点城市建成区声环境功能区划，逐步完善区域环境噪声自动监测站点，不断强化各类工矿企业等噪声源监管，以及机关、学校、幼儿园、医院、宾馆及居民区等声敏感区域的声环境监测。加强施工噪声管理，对噪声源地和声敏感区域，规划建设声障、绿化隔离带等阻声设施，持续满足区域声环境功能区管理要求。严厉查处工业企业噪声排放超标扰民行为，为民众创造一个安静、舒适的工作和生活环境。到2025年，环境噪声污染防治能力得到进一步加强，重点源噪声污染排放达到相关目标要求，城市区域环境和道路交通噪声达到功能区标准要求。</w:t>
      </w:r>
    </w:p>
    <w:p w14:paraId="25699A02">
      <w:pPr>
        <w:pStyle w:val="3"/>
        <w:spacing w:before="312" w:after="312"/>
        <w:ind w:firstLine="640"/>
        <w:rPr>
          <w:highlight w:val="none"/>
        </w:rPr>
        <w:sectPr>
          <w:pgSz w:w="11906" w:h="16838"/>
          <w:pgMar w:top="1440" w:right="1800" w:bottom="1440" w:left="1800" w:header="851" w:footer="992" w:gutter="0"/>
          <w:pgNumType w:fmt="numberInDash"/>
          <w:cols w:space="425" w:num="1"/>
          <w:docGrid w:type="lines" w:linePitch="312" w:charSpace="0"/>
        </w:sectPr>
      </w:pPr>
      <w:bookmarkStart w:id="863" w:name="_Toc2505"/>
      <w:bookmarkStart w:id="864" w:name="_Toc9254"/>
      <w:bookmarkStart w:id="865" w:name="_Toc6831"/>
      <w:bookmarkStart w:id="866" w:name="_Toc14966"/>
      <w:bookmarkStart w:id="867" w:name="_Toc3157"/>
      <w:bookmarkStart w:id="868" w:name="_Toc65"/>
      <w:bookmarkStart w:id="869" w:name="_Toc11479"/>
      <w:bookmarkStart w:id="870" w:name="_Toc88955380"/>
      <w:bookmarkStart w:id="871" w:name="_Toc30390"/>
      <w:bookmarkStart w:id="872" w:name="_Toc29842"/>
      <w:bookmarkStart w:id="873" w:name="_Toc25788"/>
      <w:bookmarkStart w:id="874" w:name="_Toc3033"/>
      <w:bookmarkStart w:id="875" w:name="_Toc16965"/>
      <w:bookmarkStart w:id="876" w:name="_Toc21380"/>
      <w:bookmarkStart w:id="877" w:name="_Toc18979"/>
      <w:bookmarkStart w:id="878" w:name="_Toc23789"/>
      <w:bookmarkStart w:id="879" w:name="_Toc8678"/>
      <w:bookmarkStart w:id="880" w:name="_Toc28950"/>
      <w:bookmarkStart w:id="881" w:name="_Toc23208"/>
      <w:bookmarkStart w:id="882" w:name="_Toc17461"/>
      <w:bookmarkStart w:id="883" w:name="_Toc7613"/>
      <w:bookmarkStart w:id="884" w:name="_Toc88954837"/>
      <w:bookmarkStart w:id="885" w:name="_Toc1553"/>
      <w:bookmarkStart w:id="886" w:name="_Toc13953"/>
      <w:bookmarkStart w:id="887" w:name="_Toc29801"/>
      <w:bookmarkStart w:id="888" w:name="_Toc25433"/>
    </w:p>
    <w:p w14:paraId="697CB008">
      <w:pPr>
        <w:pStyle w:val="3"/>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889" w:name="_Toc19231"/>
      <w:bookmarkStart w:id="890" w:name="_Toc31258"/>
      <w:r>
        <w:rPr>
          <w:rFonts w:hint="eastAsia"/>
          <w:highlight w:val="none"/>
        </w:rPr>
        <w:t>深化统筹治理，稳步改善水生态环境</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7D06E841">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891" w:name="_Toc18720"/>
      <w:bookmarkStart w:id="892" w:name="_Toc15102"/>
      <w:bookmarkStart w:id="893" w:name="_Toc20599"/>
      <w:r>
        <w:rPr>
          <w:rFonts w:hint="eastAsia"/>
          <w:highlight w:val="none"/>
        </w:rPr>
        <w:t>开展水生态保护修复</w:t>
      </w:r>
      <w:bookmarkEnd w:id="891"/>
      <w:bookmarkEnd w:id="892"/>
    </w:p>
    <w:p w14:paraId="3FC621F7">
      <w:pPr>
        <w:ind w:firstLine="640"/>
        <w:rPr>
          <w:rFonts w:hint="eastAsia"/>
          <w:highlight w:val="none"/>
        </w:rPr>
      </w:pPr>
      <w:r>
        <w:rPr>
          <w:rFonts w:hint="eastAsia"/>
          <w:highlight w:val="none"/>
        </w:rPr>
        <w:t>依法打击侵占河湖水域岸线等违法行为，推进河湖“清四乱”常态化</w:t>
      </w:r>
      <w:r>
        <w:rPr>
          <w:rFonts w:hint="eastAsia"/>
          <w:highlight w:val="none"/>
          <w:lang w:eastAsia="zh-CN"/>
        </w:rPr>
        <w:t>、</w:t>
      </w:r>
      <w:r>
        <w:rPr>
          <w:rFonts w:hint="eastAsia"/>
          <w:highlight w:val="none"/>
          <w:lang w:val="en-US" w:eastAsia="zh-CN"/>
        </w:rPr>
        <w:t>规范化</w:t>
      </w:r>
      <w:r>
        <w:rPr>
          <w:rFonts w:hint="eastAsia"/>
          <w:highlight w:val="none"/>
        </w:rPr>
        <w:t>，对不符合水源涵养区、水域岸线、河湖缓冲带等保护要求的人类活动进行整治</w:t>
      </w:r>
      <w:r>
        <w:rPr>
          <w:rFonts w:hint="eastAsia"/>
          <w:highlight w:val="none"/>
          <w:lang w:eastAsia="zh-CN"/>
        </w:rPr>
        <w:t>，</w:t>
      </w:r>
      <w:r>
        <w:rPr>
          <w:rFonts w:hint="eastAsia"/>
          <w:highlight w:val="none"/>
          <w:lang w:val="en-US" w:eastAsia="zh-CN"/>
        </w:rPr>
        <w:t>加大不达标水体专项整治力度</w:t>
      </w:r>
      <w:r>
        <w:rPr>
          <w:rFonts w:hint="eastAsia"/>
          <w:highlight w:val="none"/>
        </w:rPr>
        <w:t>。落实河湖长制度，加大对区内河流湖泊定期巡河</w:t>
      </w:r>
      <w:r>
        <w:rPr>
          <w:rFonts w:hint="eastAsia"/>
          <w:highlight w:val="none"/>
          <w:lang w:val="en-US" w:eastAsia="zh-CN"/>
        </w:rPr>
        <w:t>力度</w:t>
      </w:r>
      <w:r>
        <w:rPr>
          <w:rFonts w:hint="eastAsia"/>
          <w:highlight w:val="none"/>
        </w:rPr>
        <w:t>，</w:t>
      </w:r>
      <w:r>
        <w:rPr>
          <w:rFonts w:hint="eastAsia"/>
          <w:highlight w:val="none"/>
          <w:lang w:val="en-US" w:eastAsia="zh-CN"/>
        </w:rPr>
        <w:t>建立河湖休养生息长效机制，继续实施呼伦湖流域综合治理项目，切实保护好母亲河</w:t>
      </w:r>
      <w:r>
        <w:rPr>
          <w:rFonts w:hint="eastAsia"/>
          <w:highlight w:val="none"/>
        </w:rPr>
        <w:t>。</w:t>
      </w:r>
    </w:p>
    <w:p w14:paraId="3CA24EEF">
      <w:pPr>
        <w:pStyle w:val="4"/>
        <w:spacing w:before="313" w:beforeLines="100" w:after="313" w:afterLines="100"/>
        <w:rPr>
          <w:highlight w:val="none"/>
        </w:rPr>
      </w:pPr>
      <w:bookmarkStart w:id="894" w:name="_Toc18387"/>
      <w:bookmarkStart w:id="895" w:name="_Toc88954843"/>
      <w:bookmarkStart w:id="896" w:name="_Toc88955386"/>
      <w:bookmarkStart w:id="897" w:name="_Toc4764"/>
      <w:r>
        <w:rPr>
          <w:rFonts w:hint="eastAsia"/>
          <w:highlight w:val="none"/>
        </w:rPr>
        <w:t>持续深化“多源”同治</w:t>
      </w:r>
      <w:bookmarkEnd w:id="894"/>
      <w:bookmarkEnd w:id="895"/>
      <w:bookmarkEnd w:id="896"/>
      <w:bookmarkEnd w:id="897"/>
    </w:p>
    <w:p w14:paraId="51643CAF">
      <w:pPr>
        <w:ind w:firstLine="0"/>
        <w:rPr>
          <w:highlight w:val="none"/>
        </w:rPr>
      </w:pPr>
      <w:bookmarkStart w:id="898" w:name="_TOC_250099"/>
      <w:bookmarkEnd w:id="898"/>
      <w:bookmarkStart w:id="899" w:name="_Toc88954846"/>
      <w:bookmarkStart w:id="900" w:name="_Toc20472"/>
      <w:bookmarkStart w:id="901" w:name="_Toc28072"/>
      <w:bookmarkStart w:id="902" w:name="_Toc10996"/>
      <w:bookmarkStart w:id="903" w:name="_Toc29054"/>
      <w:bookmarkStart w:id="904" w:name="_Toc10968"/>
      <w:bookmarkStart w:id="905" w:name="_Toc31547"/>
      <w:bookmarkStart w:id="906" w:name="_Toc28838"/>
      <w:bookmarkStart w:id="907" w:name="_Toc8204"/>
      <w:bookmarkStart w:id="908" w:name="_Toc30721"/>
      <w:bookmarkStart w:id="909" w:name="_Toc5678"/>
      <w:bookmarkStart w:id="910" w:name="_Toc13921"/>
      <w:bookmarkStart w:id="911" w:name="_Toc17798"/>
      <w:bookmarkStart w:id="912" w:name="_Toc7960"/>
      <w:bookmarkStart w:id="913" w:name="_Toc31722"/>
      <w:bookmarkStart w:id="914" w:name="_Toc5645"/>
      <w:bookmarkStart w:id="915" w:name="_Toc9785"/>
      <w:bookmarkStart w:id="916" w:name="_Toc3378"/>
      <w:bookmarkStart w:id="917" w:name="_Toc88955389"/>
      <w:bookmarkStart w:id="918" w:name="_Toc32082"/>
      <w:bookmarkStart w:id="919" w:name="_Toc14801"/>
      <w:bookmarkStart w:id="920" w:name="_Toc27077"/>
      <w:bookmarkStart w:id="921" w:name="_Toc15944"/>
      <w:bookmarkStart w:id="922" w:name="_Toc31736"/>
      <w:bookmarkStart w:id="923" w:name="_Toc4722"/>
      <w:bookmarkStart w:id="924" w:name="_Toc15417"/>
      <w:bookmarkStart w:id="925" w:name="_Toc1109"/>
      <w:r>
        <w:rPr>
          <w:rFonts w:hint="eastAsia"/>
          <w:highlight w:val="none"/>
        </w:rPr>
        <w:t>加强城镇污水收集处理</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highlight w:val="none"/>
          <w:lang w:eastAsia="zh-CN"/>
        </w:rPr>
        <w:t>。</w:t>
      </w:r>
      <w:r>
        <w:rPr>
          <w:rFonts w:hint="eastAsia"/>
          <w:highlight w:val="none"/>
          <w:lang w:val="en-US" w:eastAsia="zh-CN"/>
        </w:rPr>
        <w:t>加快补齐城镇污水处理厂、网建设及运行短板，推进城镇污水管网全覆盖，对进水明显异常的污水处理厂开展片区管网系统化整治。实施雨污分流改造，杜绝污水直接排入雨水管网。鼓励开展初期雨水收集处理体系建设，</w:t>
      </w:r>
      <w:r>
        <w:rPr>
          <w:highlight w:val="none"/>
        </w:rPr>
        <w:t>建设人工湿地水质净化工程，对处理达标后的尾水进一步净化。持续做好城镇污水处理厂建设和改造，强化达标监管。到2025年，城镇污水处理设施能力基本满足生活污水处理需求</w:t>
      </w:r>
      <w:r>
        <w:rPr>
          <w:color w:val="000000"/>
          <w:highlight w:val="none"/>
        </w:rPr>
        <w:t>。继续加大再生水回用管网建设力度，提高再生水回用率。</w:t>
      </w:r>
      <w:r>
        <w:rPr>
          <w:highlight w:val="none"/>
        </w:rPr>
        <w:t>积极推进污泥无害化处置和资源化利用，形成可持续的污泥利用和消纳模式，</w:t>
      </w:r>
      <w:r>
        <w:rPr>
          <w:rFonts w:hint="eastAsia"/>
          <w:highlight w:val="none"/>
          <w:lang w:val="en-US" w:eastAsia="zh-CN"/>
        </w:rPr>
        <w:t>到2025年，</w:t>
      </w:r>
      <w:r>
        <w:rPr>
          <w:highlight w:val="none"/>
        </w:rPr>
        <w:t>污泥</w:t>
      </w:r>
      <w:r>
        <w:rPr>
          <w:rFonts w:hint="eastAsia"/>
          <w:highlight w:val="none"/>
          <w:lang w:val="en-US" w:eastAsia="zh-CN"/>
        </w:rPr>
        <w:t>无害化</w:t>
      </w:r>
      <w:r>
        <w:rPr>
          <w:highlight w:val="none"/>
        </w:rPr>
        <w:t>处置率达到</w:t>
      </w:r>
      <w:r>
        <w:rPr>
          <w:rFonts w:hint="eastAsia"/>
          <w:highlight w:val="none"/>
        </w:rPr>
        <w:t>上级要求</w:t>
      </w:r>
      <w:r>
        <w:rPr>
          <w:highlight w:val="none"/>
        </w:rPr>
        <w:t>。</w:t>
      </w:r>
    </w:p>
    <w:p w14:paraId="20064266">
      <w:pPr>
        <w:ind w:firstLine="0"/>
        <w:rPr>
          <w:rFonts w:hint="eastAsia"/>
          <w:highlight w:val="none"/>
        </w:rPr>
      </w:pPr>
      <w:bookmarkStart w:id="926" w:name="_TOC_250098"/>
      <w:bookmarkEnd w:id="926"/>
      <w:bookmarkStart w:id="927" w:name="_Toc28071"/>
      <w:bookmarkStart w:id="928" w:name="_Toc88954847"/>
      <w:bookmarkStart w:id="929" w:name="_Toc27851"/>
      <w:bookmarkStart w:id="930" w:name="_Toc24277"/>
      <w:bookmarkStart w:id="931" w:name="_Toc24567"/>
      <w:bookmarkStart w:id="932" w:name="_Toc389"/>
      <w:bookmarkStart w:id="933" w:name="_Toc18872"/>
      <w:bookmarkStart w:id="934" w:name="_Toc19605"/>
      <w:bookmarkStart w:id="935" w:name="_Toc88955390"/>
      <w:bookmarkStart w:id="936" w:name="_Toc16483"/>
      <w:bookmarkStart w:id="937" w:name="_Toc16598"/>
      <w:bookmarkStart w:id="938" w:name="_Toc6770"/>
      <w:bookmarkStart w:id="939" w:name="_Toc20795"/>
      <w:bookmarkStart w:id="940" w:name="_Toc11402"/>
      <w:bookmarkStart w:id="941" w:name="_Toc28009"/>
      <w:bookmarkStart w:id="942" w:name="_Toc17668"/>
      <w:bookmarkStart w:id="943" w:name="_Toc11580"/>
      <w:bookmarkStart w:id="944" w:name="_Toc5431"/>
      <w:bookmarkStart w:id="945" w:name="_Toc19632"/>
      <w:bookmarkStart w:id="946" w:name="_Toc23470"/>
      <w:bookmarkStart w:id="947" w:name="_Toc17328"/>
      <w:bookmarkStart w:id="948" w:name="_Toc31123"/>
      <w:bookmarkStart w:id="949" w:name="_Toc26083"/>
      <w:bookmarkStart w:id="950" w:name="_Toc11653"/>
      <w:bookmarkStart w:id="951" w:name="_Toc31050"/>
      <w:bookmarkStart w:id="952" w:name="_Toc2076"/>
      <w:bookmarkStart w:id="953" w:name="_Toc22983"/>
      <w:r>
        <w:rPr>
          <w:rFonts w:hint="eastAsia"/>
          <w:highlight w:val="none"/>
        </w:rPr>
        <w:t>推进重点行业污染防治</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hint="eastAsia"/>
          <w:highlight w:val="none"/>
          <w:lang w:eastAsia="zh-CN"/>
        </w:rPr>
        <w:t>。</w:t>
      </w:r>
      <w:r>
        <w:rPr>
          <w:highlight w:val="none"/>
        </w:rPr>
        <w:t>加快推进流域产业布局调整升级，推动重点行业、重点区域绿色发展，推进行业节水，新、改扩建项目优先利用污水处理厂再生水。</w:t>
      </w:r>
      <w:r>
        <w:rPr>
          <w:rFonts w:hint="eastAsia"/>
          <w:highlight w:val="none"/>
          <w:shd w:val="clear"/>
          <w:lang w:val="en-US" w:eastAsia="zh-CN"/>
        </w:rPr>
        <w:t>持续</w:t>
      </w:r>
      <w:r>
        <w:rPr>
          <w:rFonts w:hint="eastAsia"/>
          <w:highlight w:val="none"/>
          <w:shd w:val="clear"/>
        </w:rPr>
        <w:t>推进工业园区污水集中处理，加强对工业园区污水集中处理配套设施建设及运行管控，确保园区内企业污水全收集、全处理、稳定达标，加大再生水回用力度</w:t>
      </w:r>
      <w:r>
        <w:rPr>
          <w:highlight w:val="none"/>
        </w:rPr>
        <w:t>。</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FD7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4084BBB">
            <w:pPr>
              <w:ind w:firstLine="0" w:firstLineChars="0"/>
              <w:jc w:val="center"/>
              <w:rPr>
                <w:rFonts w:cs="Times New Roman"/>
                <w:color w:val="000000"/>
                <w:kern w:val="0"/>
                <w:highlight w:val="none"/>
                <w:lang w:bidi="ar"/>
              </w:rPr>
            </w:pPr>
            <w:bookmarkStart w:id="954" w:name="_TOC_250097"/>
            <w:bookmarkEnd w:id="954"/>
            <w:r>
              <w:rPr>
                <w:rFonts w:eastAsia="楷体" w:cs="Times New Roman"/>
                <w:color w:val="000000"/>
                <w:sz w:val="28"/>
                <w:szCs w:val="28"/>
                <w:highlight w:val="none"/>
              </w:rPr>
              <w:t>专栏</w:t>
            </w:r>
            <w:r>
              <w:rPr>
                <w:rFonts w:hint="eastAsia" w:eastAsia="楷体" w:cs="Times New Roman"/>
                <w:color w:val="000000"/>
                <w:sz w:val="28"/>
                <w:szCs w:val="28"/>
                <w:highlight w:val="none"/>
                <w:lang w:eastAsia="zh-CN"/>
              </w:rPr>
              <w:t>3</w:t>
            </w:r>
            <w:r>
              <w:rPr>
                <w:rFonts w:eastAsia="楷体" w:cs="Times New Roman"/>
                <w:color w:val="000000"/>
                <w:sz w:val="28"/>
                <w:szCs w:val="28"/>
                <w:highlight w:val="none"/>
              </w:rPr>
              <w:t xml:space="preserve"> 水生态环境提升重大工程</w:t>
            </w:r>
          </w:p>
        </w:tc>
      </w:tr>
      <w:tr w14:paraId="19EB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2796A28">
            <w:pPr>
              <w:spacing w:line="360" w:lineRule="auto"/>
              <w:ind w:left="0" w:right="0" w:firstLine="480"/>
              <w:rPr>
                <w:rFonts w:eastAsia="楷体" w:cs="Times New Roman"/>
                <w:sz w:val="24"/>
                <w:highlight w:val="none"/>
              </w:rPr>
            </w:pPr>
            <w:r>
              <w:rPr>
                <w:rFonts w:eastAsia="楷体" w:cs="Times New Roman"/>
                <w:sz w:val="24"/>
                <w:highlight w:val="none"/>
              </w:rPr>
              <w:t>（一）城镇污水管网及处理设施建设与提标改造工程</w:t>
            </w:r>
          </w:p>
          <w:p w14:paraId="676AD4C1">
            <w:pPr>
              <w:spacing w:line="360" w:lineRule="auto"/>
              <w:ind w:left="0" w:right="0" w:firstLine="480"/>
              <w:rPr>
                <w:rFonts w:cs="Times New Roman"/>
                <w:sz w:val="24"/>
                <w:highlight w:val="none"/>
              </w:rPr>
            </w:pPr>
            <w:r>
              <w:rPr>
                <w:rFonts w:cs="Times New Roman"/>
                <w:sz w:val="24"/>
                <w:highlight w:val="none"/>
              </w:rPr>
              <w:t>实施城镇污水管网问题排查、诊断和修复，推进雨污分流和老旧污水管网改造，加快实现污水管网全覆盖，污水处理全收集、全处理。加强沿街、沿河商户和工业企业排水管理。消除生活污水直排口，城中村、老旧城区和城乡结合部基本消除管网覆盖空白区；城市污水收集率和污水处理厂进水生化需氧量（BOD）浓度达到自治区人民政府公布目标。</w:t>
            </w:r>
          </w:p>
          <w:p w14:paraId="322F4AB6">
            <w:pPr>
              <w:ind w:firstLine="480"/>
              <w:rPr>
                <w:rFonts w:eastAsia="楷体" w:cs="Times New Roman"/>
                <w:sz w:val="24"/>
                <w:highlight w:val="none"/>
              </w:rPr>
            </w:pPr>
            <w:r>
              <w:rPr>
                <w:rFonts w:eastAsia="楷体" w:cs="Times New Roman"/>
                <w:sz w:val="24"/>
                <w:highlight w:val="none"/>
              </w:rPr>
              <w:t>（</w:t>
            </w:r>
            <w:r>
              <w:rPr>
                <w:rFonts w:hint="eastAsia" w:eastAsia="楷体" w:cs="Times New Roman"/>
                <w:sz w:val="24"/>
                <w:highlight w:val="none"/>
              </w:rPr>
              <w:t>二</w:t>
            </w:r>
            <w:r>
              <w:rPr>
                <w:rFonts w:eastAsia="楷体" w:cs="Times New Roman"/>
                <w:sz w:val="24"/>
                <w:highlight w:val="none"/>
              </w:rPr>
              <w:t>）扎赉诺尔区乌日根河沿线环境整治与生态恢复项目</w:t>
            </w:r>
          </w:p>
          <w:p w14:paraId="158830B6">
            <w:pPr>
              <w:spacing w:line="364" w:lineRule="auto"/>
              <w:ind w:right="120" w:firstLine="480"/>
              <w:rPr>
                <w:rFonts w:cs="Times New Roman"/>
                <w:color w:val="000000"/>
                <w:kern w:val="0"/>
                <w:szCs w:val="32"/>
                <w:highlight w:val="none"/>
                <w:lang w:bidi="ar"/>
              </w:rPr>
            </w:pPr>
            <w:r>
              <w:rPr>
                <w:rFonts w:cs="Times New Roman"/>
                <w:sz w:val="24"/>
                <w:highlight w:val="none"/>
              </w:rPr>
              <w:t>清理拆除乌日根河沿线各类生产经营和生活设施，开展河岸防护、生态恢复。</w:t>
            </w:r>
          </w:p>
        </w:tc>
      </w:tr>
    </w:tbl>
    <w:p w14:paraId="32B84251">
      <w:pPr>
        <w:ind w:firstLine="640"/>
        <w:rPr>
          <w:highlight w:val="none"/>
        </w:rPr>
        <w:sectPr>
          <w:pgSz w:w="11906" w:h="16838"/>
          <w:pgMar w:top="1440" w:right="1800" w:bottom="1440" w:left="1800" w:header="851" w:footer="992" w:gutter="0"/>
          <w:pgNumType w:fmt="numberInDash"/>
          <w:cols w:space="425" w:num="1"/>
          <w:docGrid w:type="lines" w:linePitch="312" w:charSpace="0"/>
        </w:sectPr>
      </w:pPr>
      <w:bookmarkStart w:id="955" w:name="_Toc18980"/>
      <w:bookmarkStart w:id="956" w:name="_Toc13030"/>
      <w:bookmarkStart w:id="957" w:name="_Toc29190"/>
      <w:bookmarkStart w:id="958" w:name="_Toc29098"/>
      <w:bookmarkStart w:id="959" w:name="_Toc15892"/>
      <w:bookmarkStart w:id="960" w:name="_Toc24564"/>
      <w:bookmarkStart w:id="961" w:name="_Toc16805"/>
      <w:bookmarkStart w:id="962" w:name="_Toc7462"/>
      <w:bookmarkStart w:id="963" w:name="_Toc14606"/>
      <w:bookmarkStart w:id="964" w:name="_Toc23646"/>
      <w:bookmarkStart w:id="965" w:name="_Toc31062"/>
      <w:bookmarkStart w:id="966" w:name="_Toc4675"/>
      <w:bookmarkStart w:id="967" w:name="_Toc18514"/>
      <w:bookmarkStart w:id="968" w:name="_Toc20012"/>
      <w:bookmarkStart w:id="969" w:name="_Toc15636"/>
      <w:bookmarkStart w:id="970" w:name="_Toc18744"/>
      <w:bookmarkStart w:id="971" w:name="_Toc12957"/>
      <w:bookmarkStart w:id="972" w:name="_Toc20388"/>
      <w:bookmarkStart w:id="973" w:name="_Toc17478"/>
      <w:bookmarkStart w:id="974" w:name="_Toc27505"/>
      <w:bookmarkStart w:id="975" w:name="_Toc29990"/>
      <w:bookmarkStart w:id="976" w:name="_Toc26994"/>
      <w:bookmarkStart w:id="977" w:name="_Toc29758"/>
      <w:bookmarkStart w:id="978" w:name="_Toc32271"/>
    </w:p>
    <w:p w14:paraId="282C9A7A">
      <w:pPr>
        <w:pStyle w:val="3"/>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979" w:name="_Toc88955391"/>
      <w:bookmarkStart w:id="980" w:name="_Toc88954848"/>
      <w:bookmarkStart w:id="981" w:name="_Toc2265"/>
      <w:bookmarkStart w:id="982" w:name="_Toc12629"/>
      <w:r>
        <w:rPr>
          <w:rFonts w:hint="eastAsia"/>
          <w:highlight w:val="none"/>
        </w:rPr>
        <w:t>加强系统防控，</w:t>
      </w:r>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hint="eastAsia"/>
          <w:highlight w:val="none"/>
        </w:rPr>
        <w:t>提升土壤环境质量安全</w:t>
      </w:r>
      <w:bookmarkEnd w:id="981"/>
      <w:bookmarkEnd w:id="982"/>
    </w:p>
    <w:p w14:paraId="7C73E196">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983" w:name="_Toc88954849"/>
      <w:bookmarkStart w:id="984" w:name="_Toc8056"/>
      <w:bookmarkStart w:id="985" w:name="_Toc88955392"/>
      <w:bookmarkStart w:id="986" w:name="_Toc19733"/>
      <w:r>
        <w:rPr>
          <w:rFonts w:hint="eastAsia"/>
          <w:highlight w:val="none"/>
        </w:rPr>
        <w:t>加强土壤生态环境保护</w:t>
      </w:r>
      <w:bookmarkEnd w:id="893"/>
      <w:bookmarkEnd w:id="983"/>
      <w:bookmarkEnd w:id="984"/>
      <w:bookmarkEnd w:id="985"/>
      <w:bookmarkEnd w:id="986"/>
    </w:p>
    <w:p w14:paraId="1C3690DE">
      <w:pPr>
        <w:pStyle w:val="17"/>
        <w:spacing w:before="0" w:beforeLines="-2147483648" w:after="0" w:afterLines="-2147483648"/>
        <w:ind w:firstLine="640"/>
        <w:rPr>
          <w:rFonts w:ascii="仿宋_GB2312" w:hAnsi="仿宋_GB2312" w:cs="仿宋_GB2312"/>
          <w:color w:val="FF0000"/>
          <w:szCs w:val="32"/>
          <w:highlight w:val="none"/>
        </w:rPr>
      </w:pPr>
      <w:bookmarkStart w:id="987" w:name="_Toc88955394"/>
      <w:bookmarkStart w:id="988" w:name="_Toc3402"/>
      <w:bookmarkStart w:id="989" w:name="_Toc17545"/>
      <w:bookmarkStart w:id="990" w:name="_Toc4496"/>
      <w:bookmarkStart w:id="991" w:name="_Toc27813"/>
      <w:bookmarkStart w:id="992" w:name="_Toc24729"/>
      <w:bookmarkStart w:id="993" w:name="_Toc5194"/>
      <w:bookmarkStart w:id="994" w:name="_Toc31859"/>
      <w:bookmarkStart w:id="995" w:name="_Toc11156"/>
      <w:bookmarkStart w:id="996" w:name="_Toc88954851"/>
      <w:bookmarkStart w:id="997" w:name="_Toc28975"/>
      <w:bookmarkStart w:id="998" w:name="_Toc4839"/>
      <w:bookmarkStart w:id="999" w:name="_Toc10276"/>
      <w:bookmarkStart w:id="1000" w:name="_Toc30932"/>
      <w:bookmarkStart w:id="1001" w:name="_Toc1959"/>
      <w:bookmarkStart w:id="1002" w:name="_Toc23498"/>
      <w:bookmarkStart w:id="1003" w:name="_Toc17871"/>
      <w:bookmarkStart w:id="1004" w:name="_Toc1797"/>
      <w:bookmarkStart w:id="1005" w:name="_Toc7565"/>
      <w:bookmarkStart w:id="1006" w:name="_Toc30291"/>
      <w:bookmarkStart w:id="1007" w:name="_Toc10653"/>
      <w:bookmarkStart w:id="1008" w:name="_Toc13734"/>
      <w:bookmarkStart w:id="1009" w:name="_Toc24812"/>
      <w:bookmarkStart w:id="1010" w:name="_Toc23932"/>
      <w:bookmarkStart w:id="1011" w:name="_Toc10296"/>
      <w:bookmarkStart w:id="1012" w:name="_Toc8914"/>
      <w:bookmarkStart w:id="1013" w:name="_Toc15998"/>
      <w:bookmarkStart w:id="1014" w:name="_Toc22125"/>
      <w:r>
        <w:rPr>
          <w:rFonts w:hint="eastAsia" w:ascii="仿宋_GB2312" w:hAnsi="仿宋_GB2312" w:cs="仿宋_GB2312"/>
          <w:szCs w:val="32"/>
          <w:highlight w:val="none"/>
        </w:rPr>
        <w:t>扎实推进土壤环境风险分区管控</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hint="eastAsia" w:ascii="仿宋_GB2312" w:hAnsi="仿宋_GB2312" w:cs="仿宋_GB2312"/>
          <w:szCs w:val="32"/>
          <w:highlight w:val="none"/>
          <w:lang w:eastAsia="zh-CN"/>
        </w:rPr>
        <w:t>。</w:t>
      </w:r>
      <w:r>
        <w:rPr>
          <w:rFonts w:hint="eastAsia" w:ascii="仿宋_GB2312" w:hAnsi="仿宋_GB2312" w:cs="仿宋_GB2312"/>
          <w:szCs w:val="32"/>
          <w:highlight w:val="none"/>
        </w:rPr>
        <w:t>对划为优先保护类的农用地，实施严格保护，确保面积不减，土壤质量不变</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rPr>
        <w:t>对用地类型划归为一般管控区的其他区域，执行区域生态环境保护的基本要求。整体推进土壤环境污染源头治理，全面排查并整治历史遗留无序堆存涉重固体废物。</w:t>
      </w:r>
    </w:p>
    <w:p w14:paraId="4199385A">
      <w:pPr>
        <w:pStyle w:val="17"/>
        <w:spacing w:before="0" w:beforeLines="-2147483648" w:after="0" w:afterLines="-2147483648"/>
        <w:ind w:firstLine="640"/>
        <w:rPr>
          <w:rFonts w:cs="Times New Roman"/>
          <w:szCs w:val="32"/>
          <w:highlight w:val="none"/>
        </w:rPr>
      </w:pPr>
      <w:bookmarkStart w:id="1015" w:name="_Toc1063"/>
      <w:bookmarkStart w:id="1016" w:name="_Toc132"/>
      <w:bookmarkStart w:id="1017" w:name="_Toc6850"/>
      <w:bookmarkStart w:id="1018" w:name="_Toc13260"/>
      <w:bookmarkStart w:id="1019" w:name="_Toc19508"/>
      <w:bookmarkStart w:id="1020" w:name="_Toc9958"/>
      <w:bookmarkStart w:id="1021" w:name="_Toc31470"/>
      <w:bookmarkStart w:id="1022" w:name="_Toc31409"/>
      <w:bookmarkStart w:id="1023" w:name="_Toc32666"/>
      <w:bookmarkStart w:id="1024" w:name="_Toc20718"/>
      <w:bookmarkStart w:id="1025" w:name="_Toc16621"/>
      <w:bookmarkStart w:id="1026" w:name="_Toc14303"/>
      <w:bookmarkStart w:id="1027" w:name="_Toc88955395"/>
      <w:bookmarkStart w:id="1028" w:name="_Toc13717"/>
      <w:bookmarkStart w:id="1029" w:name="_Toc88954852"/>
      <w:r>
        <w:rPr>
          <w:rFonts w:hint="eastAsia" w:cs="Times New Roman"/>
          <w:szCs w:val="32"/>
          <w:highlight w:val="none"/>
        </w:rPr>
        <w:t>不断</w:t>
      </w:r>
      <w:bookmarkEnd w:id="1015"/>
      <w:bookmarkEnd w:id="1016"/>
      <w:bookmarkEnd w:id="1017"/>
      <w:bookmarkEnd w:id="1018"/>
      <w:bookmarkEnd w:id="1019"/>
      <w:bookmarkEnd w:id="1020"/>
      <w:bookmarkEnd w:id="1021"/>
      <w:bookmarkEnd w:id="1022"/>
      <w:bookmarkEnd w:id="1023"/>
      <w:bookmarkEnd w:id="1024"/>
      <w:bookmarkEnd w:id="1025"/>
      <w:r>
        <w:rPr>
          <w:rFonts w:hint="eastAsia" w:cs="Times New Roman"/>
          <w:szCs w:val="32"/>
          <w:highlight w:val="none"/>
        </w:rPr>
        <w:t>强化土壤重点监管行业环境监管</w:t>
      </w:r>
      <w:bookmarkEnd w:id="1026"/>
      <w:bookmarkEnd w:id="1027"/>
      <w:bookmarkEnd w:id="1028"/>
      <w:bookmarkEnd w:id="1029"/>
      <w:r>
        <w:rPr>
          <w:rFonts w:hint="eastAsia" w:cs="Times New Roman"/>
          <w:szCs w:val="32"/>
          <w:highlight w:val="none"/>
          <w:lang w:eastAsia="zh-CN"/>
        </w:rPr>
        <w:t>。</w:t>
      </w:r>
      <w:r>
        <w:rPr>
          <w:rFonts w:hint="eastAsia" w:cs="Times New Roman"/>
          <w:szCs w:val="32"/>
          <w:highlight w:val="none"/>
        </w:rPr>
        <w:t>鼓励土壤污染重点监管单位因地制宜实施管道化、密闭化及防腐防渗改造，以及物料、污水、废气管线架空建设和改造，从源头上消除土壤污染。对化工、矿山采掘等可能对土壤环境产生影响的建设项目，严格土壤环境影响评价。对土壤污染重点监管企业定期开展周边土壤和地下水监督性监测，督促企业定期开展</w:t>
      </w:r>
      <w:r>
        <w:rPr>
          <w:rFonts w:hint="eastAsia" w:cs="Times New Roman"/>
          <w:szCs w:val="32"/>
          <w:highlight w:val="none"/>
          <w:lang w:val="en-US" w:eastAsia="zh-CN"/>
        </w:rPr>
        <w:t>土壤及地下水</w:t>
      </w:r>
      <w:r>
        <w:rPr>
          <w:rFonts w:hint="eastAsia" w:cs="Times New Roman"/>
          <w:szCs w:val="32"/>
          <w:highlight w:val="none"/>
        </w:rPr>
        <w:t>自行监测、污染隐患排查，到2025年底，至少完成一次土壤和地下水污染隐患排查，建立台账并制定整治方案。</w:t>
      </w:r>
    </w:p>
    <w:p w14:paraId="3182F587">
      <w:pPr>
        <w:pStyle w:val="4"/>
        <w:spacing w:before="313" w:beforeLines="100" w:after="313" w:afterLines="100"/>
        <w:ind w:firstLine="0"/>
        <w:rPr>
          <w:highlight w:val="none"/>
        </w:rPr>
      </w:pPr>
      <w:bookmarkStart w:id="1030" w:name="_Toc25456"/>
      <w:bookmarkStart w:id="1031" w:name="_Toc28257"/>
      <w:bookmarkStart w:id="1032" w:name="_Toc88955399"/>
      <w:bookmarkStart w:id="1033" w:name="_Toc88954856"/>
      <w:r>
        <w:rPr>
          <w:rFonts w:hint="eastAsia"/>
          <w:highlight w:val="none"/>
        </w:rPr>
        <w:t>配合上级积极推进地下水生态环境保护</w:t>
      </w:r>
      <w:bookmarkEnd w:id="1030"/>
      <w:bookmarkEnd w:id="1031"/>
      <w:bookmarkEnd w:id="1032"/>
      <w:bookmarkEnd w:id="1033"/>
    </w:p>
    <w:p w14:paraId="6CEDBFAC">
      <w:pPr>
        <w:pStyle w:val="17"/>
        <w:spacing w:before="0" w:beforeLines="-2147483648" w:after="0" w:afterLines="-2147483648"/>
        <w:ind w:firstLine="640"/>
        <w:rPr>
          <w:rFonts w:hint="default" w:eastAsia="仿宋_GB2312" w:cs="Times New Roman"/>
          <w:szCs w:val="32"/>
          <w:highlight w:val="none"/>
          <w:lang w:val="en-US" w:eastAsia="zh-CN"/>
        </w:rPr>
      </w:pPr>
      <w:bookmarkStart w:id="1034" w:name="_Toc88955585"/>
      <w:bookmarkEnd w:id="1034"/>
      <w:bookmarkStart w:id="1035" w:name="_Toc88955400"/>
      <w:bookmarkEnd w:id="1035"/>
      <w:bookmarkStart w:id="1036" w:name="_Toc88954857"/>
      <w:bookmarkEnd w:id="1036"/>
      <w:bookmarkStart w:id="1037" w:name="_Toc88955923"/>
      <w:bookmarkEnd w:id="1037"/>
      <w:bookmarkStart w:id="1038" w:name="_Toc4738"/>
      <w:bookmarkStart w:id="1039" w:name="_Toc4551"/>
      <w:bookmarkStart w:id="1040" w:name="_Toc32142"/>
      <w:bookmarkStart w:id="1041" w:name="_Toc14582"/>
      <w:bookmarkStart w:id="1042" w:name="_Toc17706"/>
      <w:bookmarkStart w:id="1043" w:name="_Toc32220"/>
      <w:bookmarkStart w:id="1044" w:name="_Toc88954860"/>
      <w:bookmarkStart w:id="1045" w:name="_Toc21088"/>
      <w:bookmarkStart w:id="1046" w:name="_Toc19232"/>
      <w:bookmarkStart w:id="1047" w:name="_Toc11256"/>
      <w:bookmarkStart w:id="1048" w:name="_Toc88955403"/>
      <w:bookmarkStart w:id="1049" w:name="_Toc21826"/>
      <w:bookmarkStart w:id="1050" w:name="_Toc31493"/>
      <w:bookmarkStart w:id="1051" w:name="_Toc140"/>
      <w:r>
        <w:rPr>
          <w:rFonts w:hint="eastAsia" w:cs="Times New Roman"/>
          <w:szCs w:val="32"/>
          <w:highlight w:val="none"/>
        </w:rPr>
        <w:t>开展地下水环境调查评估</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hint="eastAsia" w:cs="Times New Roman"/>
          <w:szCs w:val="32"/>
          <w:highlight w:val="none"/>
          <w:lang w:eastAsia="zh-CN"/>
        </w:rPr>
        <w:t>。</w:t>
      </w:r>
      <w:r>
        <w:rPr>
          <w:rFonts w:hint="eastAsia" w:cs="Times New Roman"/>
          <w:szCs w:val="32"/>
          <w:highlight w:val="none"/>
        </w:rPr>
        <w:t>配合呼伦贝尔市开展地下水“双源”环境状况调查评估</w:t>
      </w:r>
      <w:r>
        <w:rPr>
          <w:rFonts w:hint="eastAsia" w:cs="Times New Roman"/>
          <w:szCs w:val="32"/>
          <w:highlight w:val="none"/>
          <w:lang w:eastAsia="zh-CN"/>
        </w:rPr>
        <w:t>，</w:t>
      </w:r>
      <w:r>
        <w:rPr>
          <w:rFonts w:hint="eastAsia" w:cs="Times New Roman"/>
          <w:szCs w:val="32"/>
          <w:highlight w:val="none"/>
          <w:lang w:val="en-US" w:eastAsia="zh-CN"/>
        </w:rPr>
        <w:t>并对“矿山企业、危险废物处置、生活垃圾填埋场等”重点行业企业所在地及周边地下水环境质量状况进行摸底调查，掌握地下水环境基础状况。</w:t>
      </w:r>
    </w:p>
    <w:p w14:paraId="4E7DD8B4">
      <w:pPr>
        <w:pStyle w:val="17"/>
        <w:spacing w:before="0" w:beforeLines="-2147483648" w:after="0" w:afterLines="-2147483648"/>
        <w:ind w:firstLine="640"/>
        <w:rPr>
          <w:rFonts w:ascii="仿宋_GB2312" w:hAnsi="仿宋_GB2312" w:cs="仿宋_GB2312"/>
          <w:szCs w:val="32"/>
          <w:highlight w:val="none"/>
        </w:rPr>
      </w:pPr>
      <w:bookmarkStart w:id="1052" w:name="_Toc29458"/>
      <w:bookmarkStart w:id="1053" w:name="_Toc30821"/>
      <w:bookmarkStart w:id="1054" w:name="_Toc4270"/>
      <w:bookmarkStart w:id="1055" w:name="_Toc17586"/>
      <w:bookmarkStart w:id="1056" w:name="_Toc27473"/>
      <w:bookmarkStart w:id="1057" w:name="_Toc3483"/>
      <w:bookmarkStart w:id="1058" w:name="_Toc29468"/>
      <w:bookmarkStart w:id="1059" w:name="_Toc23553"/>
      <w:bookmarkStart w:id="1060" w:name="_Toc4443"/>
      <w:bookmarkStart w:id="1061" w:name="_Toc9267"/>
      <w:bookmarkStart w:id="1062" w:name="_Toc88954861"/>
      <w:bookmarkStart w:id="1063" w:name="_Toc88955404"/>
      <w:bookmarkStart w:id="1064" w:name="_Toc32735"/>
      <w:bookmarkStart w:id="1065" w:name="_Toc18420"/>
      <w:r>
        <w:rPr>
          <w:rFonts w:hint="eastAsia" w:ascii="仿宋_GB2312" w:hAnsi="仿宋_GB2312" w:cs="仿宋_GB2312"/>
          <w:szCs w:val="32"/>
          <w:highlight w:val="none"/>
        </w:rPr>
        <w:t>加强地下水污染协同防治</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hint="eastAsia" w:ascii="仿宋_GB2312" w:hAnsi="仿宋_GB2312" w:cs="仿宋_GB2312"/>
          <w:szCs w:val="32"/>
          <w:highlight w:val="none"/>
          <w:lang w:eastAsia="zh-CN"/>
        </w:rPr>
        <w:t>。</w:t>
      </w:r>
      <w:r>
        <w:rPr>
          <w:rFonts w:hint="eastAsia" w:ascii="仿宋_GB2312" w:hAnsi="仿宋_GB2312" w:cs="仿宋_GB2312"/>
          <w:szCs w:val="32"/>
          <w:highlight w:val="none"/>
        </w:rPr>
        <w:t>强化土壤和地下水污染协同防治，强化地下水污染风险防控，对高风险的重点生产企业以及工业集聚区、垃圾填埋场等区域做好长期监管，防止污染地下水情况出现。实施报废矿井、钻井、取水井封井回填，强化示范评估。</w:t>
      </w:r>
    </w:p>
    <w:p w14:paraId="7FF84BC6">
      <w:pPr>
        <w:tabs>
          <w:tab w:val="center" w:pos="4153"/>
          <w:tab w:val="right" w:pos="8306"/>
        </w:tabs>
        <w:ind w:firstLine="0" w:firstLineChars="0"/>
        <w:rPr>
          <w:highlight w:val="none"/>
        </w:rPr>
        <w:sectPr>
          <w:pgSz w:w="11906" w:h="16838"/>
          <w:pgMar w:top="1440" w:right="1800" w:bottom="1440" w:left="1800" w:header="851" w:footer="992" w:gutter="0"/>
          <w:pgNumType w:fmt="numberInDash"/>
          <w:cols w:space="425" w:num="1"/>
          <w:docGrid w:type="lines" w:linePitch="312" w:charSpace="0"/>
        </w:sectPr>
      </w:pPr>
    </w:p>
    <w:p w14:paraId="69FFEFF7">
      <w:pPr>
        <w:pStyle w:val="3"/>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1066" w:name="_Toc31017"/>
      <w:bookmarkStart w:id="1067" w:name="_Toc4041"/>
      <w:bookmarkStart w:id="1068" w:name="_Toc15232"/>
      <w:bookmarkStart w:id="1069" w:name="_Toc2901"/>
      <w:bookmarkStart w:id="1070" w:name="_Toc88955406"/>
      <w:bookmarkStart w:id="1071" w:name="_Toc8519"/>
      <w:bookmarkStart w:id="1072" w:name="_Toc2855"/>
      <w:bookmarkStart w:id="1073" w:name="_Toc27623"/>
      <w:bookmarkStart w:id="1074" w:name="_Toc27401"/>
      <w:bookmarkStart w:id="1075" w:name="_Toc27007"/>
      <w:bookmarkStart w:id="1076" w:name="_Toc20208"/>
      <w:bookmarkStart w:id="1077" w:name="_Toc25084"/>
      <w:bookmarkStart w:id="1078" w:name="_Toc18450"/>
      <w:bookmarkStart w:id="1079" w:name="_Toc9118"/>
      <w:bookmarkStart w:id="1080" w:name="_Toc11681"/>
      <w:bookmarkStart w:id="1081" w:name="_Toc88954863"/>
      <w:bookmarkStart w:id="1082" w:name="_Toc14758"/>
      <w:bookmarkStart w:id="1083" w:name="_Toc13054"/>
      <w:bookmarkStart w:id="1084" w:name="_Toc24536"/>
      <w:bookmarkStart w:id="1085" w:name="_Toc9933"/>
      <w:bookmarkStart w:id="1086" w:name="_Toc27482"/>
      <w:bookmarkStart w:id="1087" w:name="_Toc32327"/>
      <w:bookmarkStart w:id="1088" w:name="_Toc18921"/>
      <w:bookmarkStart w:id="1089" w:name="_Toc11296"/>
      <w:bookmarkStart w:id="1090" w:name="_Toc29873"/>
      <w:bookmarkStart w:id="1091" w:name="_Toc8362"/>
      <w:bookmarkStart w:id="1092" w:name="_Toc30199"/>
      <w:bookmarkStart w:id="1093" w:name="_Toc21781"/>
      <w:r>
        <w:rPr>
          <w:rFonts w:hint="eastAsia"/>
          <w:highlight w:val="none"/>
        </w:rPr>
        <w:t>加强生态监管，筑牢生态安全屏障</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1FAEE2DF">
      <w:pPr>
        <w:pStyle w:val="4"/>
        <w:spacing w:before="313" w:beforeLines="100" w:after="313" w:afterLines="100"/>
        <w:rPr>
          <w:highlight w:val="none"/>
        </w:rPr>
      </w:pPr>
      <w:bookmarkStart w:id="1094" w:name="_Toc13065"/>
      <w:bookmarkStart w:id="1095" w:name="_Toc18074"/>
      <w:bookmarkStart w:id="1096" w:name="_Toc88954864"/>
      <w:bookmarkStart w:id="1097" w:name="_Toc88955407"/>
      <w:bookmarkStart w:id="1098" w:name="_Toc30439"/>
      <w:bookmarkStart w:id="1099" w:name="_Toc3185"/>
      <w:bookmarkStart w:id="1100" w:name="_Toc15435"/>
      <w:bookmarkStart w:id="1101" w:name="_Toc615"/>
      <w:bookmarkStart w:id="1102" w:name="_Toc14295"/>
      <w:bookmarkStart w:id="1103" w:name="_Toc19927"/>
      <w:bookmarkStart w:id="1104" w:name="_Toc22268"/>
      <w:bookmarkStart w:id="1105" w:name="_Toc19553"/>
      <w:bookmarkStart w:id="1106" w:name="_Toc31702"/>
      <w:bookmarkStart w:id="1107" w:name="_Toc6520"/>
      <w:bookmarkStart w:id="1108" w:name="_Toc2648"/>
      <w:bookmarkStart w:id="1109" w:name="_Toc13270"/>
      <w:bookmarkStart w:id="1110" w:name="_Toc25057"/>
      <w:bookmarkStart w:id="1111" w:name="_Toc29917"/>
      <w:bookmarkStart w:id="1112" w:name="_Toc7463"/>
      <w:bookmarkStart w:id="1113" w:name="_Toc25944"/>
      <w:bookmarkStart w:id="1114" w:name="_Toc31071"/>
      <w:bookmarkStart w:id="1115" w:name="_Toc12749"/>
      <w:bookmarkStart w:id="1116" w:name="_Toc23729"/>
      <w:bookmarkStart w:id="1117" w:name="_Toc24131"/>
      <w:bookmarkStart w:id="1118" w:name="_Toc6307"/>
      <w:bookmarkStart w:id="1119" w:name="_Toc9405"/>
      <w:bookmarkStart w:id="1120" w:name="_Toc8504"/>
      <w:bookmarkStart w:id="1121" w:name="_Toc9694"/>
      <w:bookmarkStart w:id="1122" w:name="_Toc3109"/>
      <w:r>
        <w:rPr>
          <w:rFonts w:hint="eastAsia"/>
          <w:highlight w:val="none"/>
          <w:lang w:val="en-US" w:eastAsia="zh-CN"/>
        </w:rPr>
        <w:t>加强生态保护红线监管</w:t>
      </w:r>
      <w:bookmarkEnd w:id="1094"/>
      <w:bookmarkEnd w:id="1095"/>
      <w:bookmarkEnd w:id="1096"/>
      <w:bookmarkEnd w:id="1097"/>
    </w:p>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14:paraId="2652B79A">
      <w:pPr>
        <w:ind w:firstLine="640"/>
        <w:rPr>
          <w:rFonts w:hint="eastAsia"/>
          <w:highlight w:val="none"/>
        </w:rPr>
      </w:pPr>
      <w:bookmarkStart w:id="1123" w:name="_Toc23486"/>
      <w:r>
        <w:rPr>
          <w:rFonts w:hint="eastAsia"/>
          <w:highlight w:val="none"/>
        </w:rPr>
        <w:t>严守生态保护红线。推进精细化空间管控，严禁不符合主体功能定位的各类开发活动，进一步推动违法违规侵占生态空间的退出和修复。将生态保护红线作为维持全</w:t>
      </w:r>
      <w:r>
        <w:rPr>
          <w:rFonts w:hint="eastAsia"/>
          <w:highlight w:val="none"/>
          <w:lang w:val="en-US" w:eastAsia="zh-CN"/>
        </w:rPr>
        <w:t>区</w:t>
      </w:r>
      <w:r>
        <w:rPr>
          <w:rFonts w:hint="eastAsia"/>
          <w:highlight w:val="none"/>
        </w:rPr>
        <w:t>生态功能的底线，确保生态功能不降低、面积不减少、性质不改变，有效保护重要生态功能区域、重要生态系统及主要物种，提高生态产品供给能力。</w:t>
      </w:r>
    </w:p>
    <w:p w14:paraId="19C6674E">
      <w:pPr>
        <w:ind w:firstLine="640"/>
        <w:rPr>
          <w:rFonts w:hint="eastAsia"/>
          <w:highlight w:val="none"/>
        </w:rPr>
      </w:pPr>
      <w:r>
        <w:rPr>
          <w:rFonts w:hint="eastAsia"/>
          <w:highlight w:val="none"/>
        </w:rPr>
        <w:t>开展生态保护红线监管。对生态保护红线保护成效进行评价考核，及时发现和依法处罚破坏生态保护红线的违法行为，切实做到有案必查、违法必究。</w:t>
      </w:r>
    </w:p>
    <w:p w14:paraId="2C614FE6">
      <w:pPr>
        <w:pStyle w:val="4"/>
        <w:spacing w:before="313" w:beforeLines="100" w:after="313" w:afterLines="100"/>
        <w:ind w:firstLine="0"/>
        <w:rPr>
          <w:rFonts w:hint="default" w:eastAsia="仿宋_GB2312"/>
          <w:highlight w:val="none"/>
          <w:lang w:val="en-US" w:eastAsia="zh-CN"/>
        </w:rPr>
      </w:pPr>
      <w:bookmarkStart w:id="1124" w:name="_Toc30722"/>
      <w:r>
        <w:rPr>
          <w:rFonts w:hint="eastAsia"/>
          <w:highlight w:val="none"/>
          <w:lang w:val="en-US" w:eastAsia="zh-CN"/>
        </w:rPr>
        <w:t>推进生态系统保护修复</w:t>
      </w:r>
      <w:bookmarkEnd w:id="1124"/>
    </w:p>
    <w:p w14:paraId="76D04DC4">
      <w:pPr>
        <w:ind w:firstLine="640"/>
        <w:rPr>
          <w:rFonts w:hint="eastAsia"/>
          <w:highlight w:val="none"/>
        </w:rPr>
      </w:pPr>
      <w:r>
        <w:rPr>
          <w:rFonts w:hint="eastAsia"/>
          <w:highlight w:val="none"/>
          <w:lang w:val="en-US" w:eastAsia="zh-CN"/>
        </w:rPr>
        <w:t>统筹推进山水林田湖草沙系统治理。</w:t>
      </w:r>
      <w:r>
        <w:rPr>
          <w:rFonts w:hint="eastAsia"/>
          <w:highlight w:val="none"/>
        </w:rPr>
        <w:t>根据上级指示，配合呼伦贝尔市科学开展国土绿化行动，</w:t>
      </w:r>
      <w:r>
        <w:rPr>
          <w:rFonts w:hint="eastAsia"/>
          <w:color w:val="000000"/>
          <w:highlight w:val="none"/>
        </w:rPr>
        <w:t>持续实施重点区域生态保护与修复</w:t>
      </w:r>
      <w:r>
        <w:rPr>
          <w:rFonts w:hint="eastAsia"/>
          <w:highlight w:val="none"/>
        </w:rPr>
        <w:t>。落实禁牧休牧、草畜平衡和基本草原保护制度，配合开展草原生态系统健康评价，</w:t>
      </w:r>
      <w:r>
        <w:rPr>
          <w:rFonts w:hint="eastAsia"/>
          <w:highlight w:val="none"/>
          <w:lang w:val="en-US" w:eastAsia="zh-CN"/>
        </w:rPr>
        <w:t>深化草原生态保护补奖机制，</w:t>
      </w:r>
      <w:r>
        <w:rPr>
          <w:rFonts w:hint="eastAsia"/>
          <w:highlight w:val="none"/>
        </w:rPr>
        <w:t>实施草原保护与修复重大工程。加大草原生态监管力度，严禁在草原上乱采滥挖、新上矿产资源开发等工业项目，已批准在建运营的矿山、风电、光伏等项目到期退出。按照上级要求，持续</w:t>
      </w:r>
      <w:r>
        <w:rPr>
          <w:rFonts w:hint="eastAsia"/>
          <w:color w:val="000000"/>
          <w:highlight w:val="none"/>
        </w:rPr>
        <w:t>深化呼伦湖湿地生态环境综合治理。加大沙地综合治理力度，开展沙区综合治理，对可治理的沙化土地进行集中治理</w:t>
      </w:r>
      <w:r>
        <w:rPr>
          <w:rFonts w:hint="eastAsia"/>
          <w:color w:val="000000"/>
          <w:highlight w:val="none"/>
          <w:lang w:eastAsia="zh-CN"/>
        </w:rPr>
        <w:t>，</w:t>
      </w:r>
      <w:r>
        <w:rPr>
          <w:rFonts w:hint="eastAsia"/>
          <w:color w:val="000000"/>
          <w:highlight w:val="none"/>
        </w:rPr>
        <w:t>对已经治理的沙化土地加强保护。</w:t>
      </w:r>
      <w:r>
        <w:rPr>
          <w:rFonts w:hint="eastAsia"/>
          <w:highlight w:val="none"/>
        </w:rPr>
        <w:t>加大矿山生态恢复治理力度，有序推进闭坑、政策性关闭、历史遗留、责任主体灭失矿山环境综合治理，加快露天矿生态修复及采空区灾害治理，着力推进绿色矿山建设，到2025年，全部矿山达到国家或自治区级绿色矿山建设标准，不符合绿色矿山标准的逐步退出市场。</w:t>
      </w:r>
      <w:bookmarkEnd w:id="1123"/>
    </w:p>
    <w:p w14:paraId="44DD2EA2">
      <w:pPr>
        <w:pStyle w:val="2"/>
        <w:rPr>
          <w:rFonts w:hint="default" w:eastAsia="仿宋_GB2312"/>
          <w:highlight w:val="none"/>
          <w:lang w:val="en-US" w:eastAsia="zh-CN"/>
        </w:rPr>
      </w:pPr>
      <w:r>
        <w:rPr>
          <w:rFonts w:hint="eastAsia"/>
          <w:highlight w:val="none"/>
          <w:lang w:val="en-US" w:eastAsia="zh-CN"/>
        </w:rPr>
        <w:t>配合上级开展生态保护修复成效评估。按照上级安排部署，开展重要生态系统保护修复工程实施成效评估，定期组织开展生态保护修复工程实施成效自评估，监督工程实施主体在生态保护修复过程中，开展生态质量、环境质量变化情况监测。</w:t>
      </w:r>
    </w:p>
    <w:p w14:paraId="5AE94DDB">
      <w:pPr>
        <w:pStyle w:val="3"/>
        <w:keepNext w:val="0"/>
        <w:keepLines w:val="0"/>
        <w:pageBreakBefore w:val="0"/>
        <w:widowControl w:val="0"/>
        <w:kinsoku/>
        <w:wordWrap/>
        <w:overflowPunct/>
        <w:topLinePunct w:val="0"/>
        <w:autoSpaceDE/>
        <w:autoSpaceDN/>
        <w:bidi w:val="0"/>
        <w:adjustRightInd/>
        <w:snapToGrid/>
        <w:spacing w:before="312" w:beforeLines="100" w:after="312" w:afterLines="100"/>
        <w:ind w:firstLine="0"/>
        <w:textAlignment w:val="auto"/>
        <w:rPr>
          <w:highlight w:val="none"/>
        </w:rPr>
      </w:pPr>
      <w:bookmarkStart w:id="1125" w:name="_Toc972"/>
      <w:bookmarkStart w:id="1126" w:name="_Toc12414"/>
      <w:bookmarkStart w:id="1127" w:name="_Toc20552"/>
      <w:bookmarkStart w:id="1128" w:name="_Toc88955422"/>
      <w:bookmarkStart w:id="1129" w:name="_Toc31834"/>
      <w:bookmarkStart w:id="1130" w:name="_Toc1373"/>
      <w:bookmarkStart w:id="1131" w:name="_Toc27197"/>
      <w:bookmarkStart w:id="1132" w:name="_Toc10721"/>
      <w:bookmarkStart w:id="1133" w:name="_Toc22329"/>
      <w:bookmarkStart w:id="1134" w:name="_Toc88954879"/>
      <w:bookmarkStart w:id="1135" w:name="_Toc9030"/>
      <w:bookmarkStart w:id="1136" w:name="_Toc9015"/>
      <w:bookmarkStart w:id="1137" w:name="_Toc13490"/>
      <w:bookmarkStart w:id="1138" w:name="_Toc25623"/>
      <w:bookmarkStart w:id="1139" w:name="_Toc10832"/>
      <w:bookmarkStart w:id="1140" w:name="_Toc10836"/>
      <w:bookmarkStart w:id="1141" w:name="_Toc16539"/>
      <w:bookmarkStart w:id="1142" w:name="_Toc7236"/>
      <w:bookmarkStart w:id="1143" w:name="_Toc17643"/>
      <w:bookmarkStart w:id="1144" w:name="_Toc26119"/>
      <w:bookmarkStart w:id="1145" w:name="_Toc13735"/>
      <w:bookmarkStart w:id="1146" w:name="_Toc5857"/>
      <w:bookmarkStart w:id="1147" w:name="_Toc30972"/>
      <w:bookmarkStart w:id="1148" w:name="_Toc11602"/>
      <w:bookmarkStart w:id="1149" w:name="_Toc6145"/>
      <w:bookmarkStart w:id="1150" w:name="_Toc15820"/>
      <w:bookmarkStart w:id="1151" w:name="_Toc20168"/>
      <w:bookmarkStart w:id="1152" w:name="_Toc19234"/>
      <w:bookmarkStart w:id="1153" w:name="_Toc17600"/>
      <w:r>
        <w:rPr>
          <w:rFonts w:hint="eastAsia"/>
          <w:highlight w:val="none"/>
        </w:rPr>
        <w:t>强化风险防控，有效防范环境风险</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p w14:paraId="0AB31AA1">
      <w:pPr>
        <w:pStyle w:val="4"/>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rPr>
          <w:highlight w:val="none"/>
        </w:rPr>
      </w:pPr>
      <w:bookmarkStart w:id="1154" w:name="_Toc21069"/>
      <w:bookmarkStart w:id="1155" w:name="_Toc13309"/>
      <w:bookmarkStart w:id="1156" w:name="_Toc88955423"/>
      <w:bookmarkStart w:id="1157" w:name="_Toc88954880"/>
      <w:r>
        <w:rPr>
          <w:rFonts w:hint="eastAsia"/>
          <w:highlight w:val="none"/>
        </w:rPr>
        <w:t>提升危险废物处理处置及监管能力</w:t>
      </w:r>
      <w:bookmarkEnd w:id="1154"/>
      <w:bookmarkEnd w:id="1155"/>
      <w:bookmarkEnd w:id="1156"/>
      <w:bookmarkEnd w:id="1157"/>
    </w:p>
    <w:p w14:paraId="37E06EB5">
      <w:pPr>
        <w:spacing w:before="156" w:beforeLines="50" w:after="156" w:afterLines="50"/>
        <w:ind w:firstLine="640"/>
        <w:rPr>
          <w:highlight w:val="none"/>
        </w:rPr>
      </w:pPr>
      <w:bookmarkStart w:id="1158" w:name="_Toc88955609"/>
      <w:bookmarkEnd w:id="1158"/>
      <w:bookmarkStart w:id="1159" w:name="_Toc88955424"/>
      <w:bookmarkEnd w:id="1159"/>
      <w:bookmarkStart w:id="1160" w:name="_Toc88954881"/>
      <w:bookmarkEnd w:id="1160"/>
      <w:bookmarkStart w:id="1161" w:name="_Toc88955947"/>
      <w:bookmarkEnd w:id="1161"/>
      <w:r>
        <w:rPr>
          <w:rFonts w:hint="eastAsia"/>
          <w:highlight w:val="none"/>
          <w:lang w:val="en-US" w:eastAsia="zh-CN"/>
        </w:rPr>
        <w:t>提高危险废物利用处置和监管能力。提升危险废物环境监管能力，促进利用处置设施合理布局，实现利用处置能力与产废情况总体匹配。完善危险废物全过程动态环境监管体系，提升固体废物信息化监管能力和水平，有序推进危险废物全过程监控和信息化追溯。强化废弃危险化学品及持久性有机污染物的环境监管，实施环境激素类、高危害、高风险化学品淘汰、限制、替代等措施。深入推进危险废物规范化管理，完善危险废物环境重点监管单位清单，及时整改前期环境风险排查整治发现的难点问题。开展危险废物专项整治，严厉打击“洋垃圾”走私入境和危险废物非法转移倾倒等违法犯罪行为，积极推行环境污染第三方治理，建立健全“污染者付费+第三方治理”等机制。到2025年，危险废物利用处置率达100%。</w:t>
      </w:r>
    </w:p>
    <w:p w14:paraId="3FC03ECC">
      <w:pPr>
        <w:ind w:firstLine="640"/>
        <w:rPr>
          <w:rFonts w:hint="default" w:eastAsia="仿宋_GB2312"/>
          <w:highlight w:val="none"/>
          <w:lang w:val="en-US" w:eastAsia="zh-CN"/>
        </w:rPr>
      </w:pPr>
      <w:r>
        <w:rPr>
          <w:rFonts w:hint="eastAsia"/>
          <w:highlight w:val="none"/>
          <w:lang w:val="en-US" w:eastAsia="zh-CN"/>
        </w:rPr>
        <w:t>推动医疗废物处理处置体系建设</w:t>
      </w:r>
      <w:r>
        <w:rPr>
          <w:rFonts w:hint="eastAsia"/>
          <w:highlight w:val="none"/>
          <w:lang w:eastAsia="zh-CN"/>
        </w:rPr>
        <w:t>。</w:t>
      </w:r>
      <w:r>
        <w:rPr>
          <w:rFonts w:hint="eastAsia"/>
          <w:highlight w:val="none"/>
          <w:lang w:val="en-US" w:eastAsia="zh-CN"/>
        </w:rPr>
        <w:t>完善</w:t>
      </w:r>
      <w:r>
        <w:rPr>
          <w:highlight w:val="none"/>
        </w:rPr>
        <w:t>健全</w:t>
      </w:r>
      <w:r>
        <w:rPr>
          <w:rFonts w:hint="eastAsia"/>
          <w:highlight w:val="none"/>
        </w:rPr>
        <w:t>全区</w:t>
      </w:r>
      <w:r>
        <w:rPr>
          <w:highlight w:val="none"/>
        </w:rPr>
        <w:t>医疗废弃物收集转运处置体系，</w:t>
      </w:r>
      <w:r>
        <w:rPr>
          <w:rFonts w:hint="eastAsia"/>
          <w:highlight w:val="none"/>
          <w:lang w:val="en-US" w:eastAsia="zh-CN"/>
        </w:rPr>
        <w:t>鼓励发展分散式、移动式医疗废物处置设施。</w:t>
      </w:r>
      <w:r>
        <w:rPr>
          <w:highlight w:val="none"/>
        </w:rPr>
        <w:t>加强医疗废物全过程管理，形成多部门共同参与的联防联控机制，健全医疗废物应急处置响应机制、完善处置物资储备体系、建立协同应急处置设施清单，做好突发疫情医疗废物应急处置能力和设施的储备与建设工作。</w:t>
      </w:r>
      <w:r>
        <w:rPr>
          <w:rFonts w:hint="eastAsia"/>
          <w:highlight w:val="none"/>
          <w:lang w:val="en-US" w:eastAsia="zh-CN"/>
        </w:rPr>
        <w:t>到2025年，全区医疗废物基本实现无害化处置。</w:t>
      </w:r>
    </w:p>
    <w:p w14:paraId="3BBC7E11">
      <w:pPr>
        <w:pStyle w:val="4"/>
        <w:spacing w:before="313" w:beforeLines="100" w:after="313" w:afterLines="100" w:afterAutospacing="0"/>
        <w:ind w:firstLine="0"/>
        <w:rPr>
          <w:highlight w:val="none"/>
        </w:rPr>
      </w:pPr>
      <w:bookmarkStart w:id="1162" w:name="_Toc25242"/>
      <w:bookmarkStart w:id="1163" w:name="_Toc26842"/>
      <w:bookmarkStart w:id="1164" w:name="_Toc88955434"/>
      <w:bookmarkStart w:id="1165" w:name="_Toc88954891"/>
      <w:r>
        <w:rPr>
          <w:rFonts w:hint="eastAsia"/>
          <w:highlight w:val="none"/>
        </w:rPr>
        <w:t>强化重金属污染防治</w:t>
      </w:r>
      <w:bookmarkEnd w:id="1162"/>
      <w:bookmarkEnd w:id="1163"/>
      <w:bookmarkEnd w:id="1164"/>
      <w:bookmarkEnd w:id="1165"/>
    </w:p>
    <w:p w14:paraId="30E703C5">
      <w:pPr>
        <w:pStyle w:val="17"/>
        <w:spacing w:before="156" w:beforeLines="50" w:after="156" w:afterLines="50"/>
        <w:ind w:firstLine="640"/>
        <w:rPr>
          <w:rFonts w:ascii="仿宋_GB2312" w:hAnsi="仿宋_GB2312" w:cs="仿宋_GB2312"/>
          <w:szCs w:val="32"/>
          <w:highlight w:val="none"/>
        </w:rPr>
      </w:pPr>
      <w:bookmarkStart w:id="1166" w:name="_Toc88954892"/>
      <w:bookmarkEnd w:id="1166"/>
      <w:bookmarkStart w:id="1167" w:name="_Toc88955958"/>
      <w:bookmarkEnd w:id="1167"/>
      <w:bookmarkStart w:id="1168" w:name="_Toc88955435"/>
      <w:bookmarkEnd w:id="1168"/>
      <w:bookmarkStart w:id="1169" w:name="_Toc88955620"/>
      <w:bookmarkEnd w:id="1169"/>
      <w:r>
        <w:rPr>
          <w:rFonts w:hint="eastAsia" w:ascii="仿宋_GB2312" w:hAnsi="仿宋_GB2312" w:cs="仿宋_GB2312"/>
          <w:szCs w:val="32"/>
          <w:highlight w:val="none"/>
          <w:lang w:val="en-US" w:eastAsia="zh-CN"/>
        </w:rPr>
        <w:t>涉重金属污染物排放企业执行强制性清洁生产审核，新建重金属污染物排放企业清洁生产相关指标执行特别排放限值。</w:t>
      </w:r>
      <w:r>
        <w:rPr>
          <w:rFonts w:hint="eastAsia" w:ascii="仿宋_GB2312" w:hAnsi="仿宋_GB2312" w:cs="仿宋_GB2312"/>
          <w:szCs w:val="32"/>
          <w:highlight w:val="none"/>
        </w:rPr>
        <w:t>聚焦铅、汞、镉、铬、砷等重金属污染物，加强行业环境管理，加强涉重行业企业环境质量监测体系建设，完善污染防治措施和环境风险应急预案，强化重点区域、重点行业重金属污染监控预警。</w:t>
      </w:r>
    </w:p>
    <w:p w14:paraId="0832D59B">
      <w:pPr>
        <w:pStyle w:val="4"/>
        <w:spacing w:before="313" w:beforeLines="100" w:after="313" w:afterLines="100"/>
        <w:ind w:firstLine="0"/>
        <w:jc w:val="center"/>
        <w:outlineLvl w:val="1"/>
        <w:rPr>
          <w:highlight w:val="none"/>
        </w:rPr>
      </w:pPr>
      <w:bookmarkStart w:id="1170" w:name="_Toc88955442"/>
      <w:bookmarkStart w:id="1171" w:name="_Toc88954899"/>
      <w:bookmarkStart w:id="1172" w:name="_Toc15393"/>
      <w:bookmarkStart w:id="1173" w:name="_Toc6289"/>
      <w:bookmarkStart w:id="1174" w:name="_Toc20210"/>
      <w:bookmarkStart w:id="1175" w:name="_Toc12275"/>
      <w:bookmarkStart w:id="1176" w:name="_Toc17814"/>
      <w:bookmarkStart w:id="1177" w:name="_Toc24700"/>
      <w:bookmarkStart w:id="1178" w:name="_Toc6391"/>
      <w:bookmarkStart w:id="1179" w:name="_Toc29575"/>
      <w:bookmarkStart w:id="1180" w:name="_Toc27251"/>
      <w:bookmarkStart w:id="1181" w:name="_Toc23986"/>
      <w:bookmarkStart w:id="1182" w:name="_Toc32360"/>
      <w:bookmarkStart w:id="1183" w:name="_Hlk88948848"/>
      <w:bookmarkStart w:id="1184" w:name="_Toc16005"/>
      <w:bookmarkStart w:id="1185" w:name="_Toc24127"/>
      <w:bookmarkStart w:id="1186" w:name="_Toc26358"/>
      <w:bookmarkStart w:id="1187" w:name="_Toc18774"/>
      <w:bookmarkStart w:id="1188" w:name="_Toc28633"/>
      <w:bookmarkStart w:id="1189" w:name="_Toc3545"/>
      <w:bookmarkStart w:id="1190" w:name="_Toc17294"/>
      <w:bookmarkStart w:id="1191" w:name="_Toc28544"/>
      <w:bookmarkStart w:id="1192" w:name="_Toc11899"/>
      <w:bookmarkStart w:id="1193" w:name="_Toc31627"/>
      <w:bookmarkStart w:id="1194" w:name="_Toc12250"/>
      <w:bookmarkStart w:id="1195" w:name="_Toc17884"/>
      <w:bookmarkStart w:id="1196" w:name="_Toc31219"/>
      <w:bookmarkStart w:id="1197" w:name="_Toc4506"/>
      <w:bookmarkStart w:id="1198" w:name="_Toc1967"/>
      <w:bookmarkStart w:id="1199" w:name="_Toc28035"/>
      <w:r>
        <w:rPr>
          <w:rFonts w:hint="eastAsia"/>
          <w:highlight w:val="none"/>
        </w:rPr>
        <w:t>推进其他固体废物利用处置</w:t>
      </w:r>
      <w:bookmarkEnd w:id="1170"/>
      <w:bookmarkEnd w:id="1171"/>
      <w:bookmarkEnd w:id="1172"/>
      <w:bookmarkEnd w:id="1173"/>
    </w:p>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14:paraId="6F29FD16">
      <w:pPr>
        <w:widowControl/>
        <w:spacing w:before="156" w:beforeLines="50" w:after="156" w:afterLines="50"/>
        <w:ind w:firstLine="640"/>
        <w:rPr>
          <w:rFonts w:hint="default" w:ascii="楷体_GB2312" w:hAnsi="楷体_GB2312" w:eastAsia="仿宋_GB2312" w:cs="楷体_GB2312"/>
          <w:color w:val="FF0000"/>
          <w:highlight w:val="none"/>
          <w:lang w:val="en-US" w:eastAsia="zh-CN"/>
        </w:rPr>
      </w:pPr>
      <w:r>
        <w:rPr>
          <w:rFonts w:hint="eastAsia"/>
          <w:highlight w:val="none"/>
          <w:lang w:val="en-US" w:eastAsia="zh-CN" w:bidi="ar"/>
        </w:rPr>
        <w:t>推进固废利用处置。</w:t>
      </w:r>
      <w:r>
        <w:rPr>
          <w:rFonts w:hint="eastAsia"/>
          <w:highlight w:val="none"/>
          <w:lang w:bidi="ar"/>
        </w:rPr>
        <w:t>促进主要农业废弃物全量利用。完善和落实有关鼓励固体废物综合利用和处置的优惠政策。以煤矸石、粉煤灰、建筑垃圾等为重点，建设综合利用示范</w:t>
      </w:r>
      <w:r>
        <w:rPr>
          <w:rFonts w:hint="eastAsia"/>
          <w:highlight w:val="none"/>
          <w:lang w:eastAsia="zh-CN" w:bidi="ar"/>
        </w:rPr>
        <w:t>，</w:t>
      </w:r>
      <w:r>
        <w:rPr>
          <w:rFonts w:hint="eastAsia"/>
          <w:highlight w:val="none"/>
          <w:lang w:val="en-US" w:eastAsia="zh-CN" w:bidi="ar"/>
        </w:rPr>
        <w:t>到2025年，</w:t>
      </w:r>
      <w:r>
        <w:rPr>
          <w:rFonts w:hint="eastAsia"/>
          <w:highlight w:val="none"/>
          <w:lang w:bidi="ar"/>
        </w:rPr>
        <w:t>支持煤矸石、粉煤灰、矿山废石</w:t>
      </w:r>
      <w:r>
        <w:rPr>
          <w:rFonts w:hint="eastAsia" w:hAnsi="黑体" w:cs="Times New Roman"/>
          <w:bCs/>
          <w:highlight w:val="none"/>
        </w:rPr>
        <w:t>充填</w:t>
      </w:r>
      <w:r>
        <w:rPr>
          <w:rFonts w:hint="eastAsia"/>
          <w:highlight w:val="none"/>
          <w:lang w:bidi="ar"/>
        </w:rPr>
        <w:t>或回填采空区和矿坑，鼓励利用矿区露天采空区处置一般工业固体废物。</w:t>
      </w:r>
      <w:r>
        <w:rPr>
          <w:rFonts w:hint="eastAsia"/>
          <w:highlight w:val="none"/>
          <w:lang w:val="en-US" w:eastAsia="zh-CN" w:bidi="ar"/>
        </w:rPr>
        <w:t>鼓励利用矸石、粉煤灰等生产新型墙体材料、装饰装修材料等绿色建材。</w:t>
      </w:r>
      <w:r>
        <w:rPr>
          <w:rFonts w:hint="eastAsia"/>
          <w:highlight w:val="none"/>
          <w:lang w:bidi="ar"/>
        </w:rPr>
        <w:t>加强生活垃圾污染治理，提高城市生活垃圾处理减量化、资源化和无害化水平，实现城镇垃圾处理设施全覆盖。鼓励群众对生活垃圾实施分类，继续开展城乡生活垃圾分类收集和处理试点。提高垃圾分类收运能力和水平，</w:t>
      </w:r>
      <w:r>
        <w:rPr>
          <w:rFonts w:hint="eastAsia"/>
          <w:highlight w:val="none"/>
          <w:lang w:val="en-US" w:eastAsia="zh-CN" w:bidi="ar"/>
        </w:rPr>
        <w:t>全面推进焚烧处理能力建设，</w:t>
      </w:r>
      <w:r>
        <w:rPr>
          <w:rFonts w:hint="eastAsia"/>
          <w:highlight w:val="none"/>
          <w:lang w:bidi="ar"/>
        </w:rPr>
        <w:t>探索开展小型生活垃圾焚烧设施试点。加强垃圾渗滤液处理，对</w:t>
      </w:r>
      <w:r>
        <w:rPr>
          <w:rFonts w:hint="eastAsia"/>
          <w:highlight w:val="none"/>
          <w:lang w:val="en-US" w:eastAsia="zh-CN" w:bidi="ar"/>
        </w:rPr>
        <w:t>旧的</w:t>
      </w:r>
      <w:r>
        <w:rPr>
          <w:rFonts w:hint="eastAsia"/>
          <w:highlight w:val="none"/>
          <w:lang w:bidi="ar"/>
        </w:rPr>
        <w:t>垃圾堆放场</w:t>
      </w:r>
      <w:r>
        <w:rPr>
          <w:rFonts w:hint="eastAsia"/>
          <w:highlight w:val="none"/>
          <w:lang w:val="en-US" w:eastAsia="zh-CN" w:bidi="ar"/>
        </w:rPr>
        <w:t>和服务期满要封场的填埋场</w:t>
      </w:r>
      <w:r>
        <w:rPr>
          <w:rFonts w:hint="eastAsia"/>
          <w:highlight w:val="none"/>
          <w:lang w:bidi="ar"/>
        </w:rPr>
        <w:t>按照规范要求</w:t>
      </w:r>
      <w:r>
        <w:rPr>
          <w:rFonts w:hint="eastAsia"/>
          <w:highlight w:val="none"/>
          <w:lang w:val="en-US" w:eastAsia="zh-CN" w:bidi="ar"/>
        </w:rPr>
        <w:t>进行治理</w:t>
      </w:r>
      <w:r>
        <w:rPr>
          <w:rFonts w:hint="eastAsia"/>
          <w:highlight w:val="none"/>
          <w:lang w:bidi="ar"/>
        </w:rPr>
        <w:t>。</w:t>
      </w:r>
      <w:r>
        <w:rPr>
          <w:rFonts w:hint="eastAsia"/>
          <w:highlight w:val="none"/>
          <w:lang w:val="en-US" w:eastAsia="zh-CN" w:bidi="ar"/>
        </w:rPr>
        <w:t>加强城市低值废弃物资源化利用。</w:t>
      </w:r>
    </w:p>
    <w:p w14:paraId="70A62594">
      <w:pPr>
        <w:ind w:firstLine="640"/>
        <w:rPr>
          <w:highlight w:val="none"/>
          <w:lang w:bidi="ar"/>
        </w:rPr>
      </w:pPr>
      <w:r>
        <w:rPr>
          <w:rFonts w:hint="eastAsia"/>
          <w:highlight w:val="none"/>
          <w:lang w:bidi="ar"/>
        </w:rPr>
        <w:t>切实加强区内塑料污染治理，强化废塑料回收、利用、处置等环节环境监管，建立健全塑料制品长效管理机制。严厉打击塑料违规生产销售行为，严格医疗机构内部废弃物的分类管理。建成区内商场、超市</w:t>
      </w:r>
      <w:r>
        <w:rPr>
          <w:rFonts w:hint="eastAsia"/>
          <w:highlight w:val="none"/>
          <w:lang w:eastAsia="zh-CN" w:bidi="ar"/>
        </w:rPr>
        <w:t>、</w:t>
      </w:r>
      <w:r>
        <w:rPr>
          <w:rFonts w:hint="eastAsia"/>
          <w:highlight w:val="none"/>
          <w:lang w:val="en-US" w:eastAsia="zh-CN" w:bidi="ar"/>
        </w:rPr>
        <w:t>药店、书店</w:t>
      </w:r>
      <w:r>
        <w:rPr>
          <w:rFonts w:hint="eastAsia"/>
          <w:highlight w:val="none"/>
          <w:lang w:bidi="ar"/>
        </w:rPr>
        <w:t>等场所以及餐饮打包外卖服务和各类会展活动，禁止使用不可降解塑料袋，集贸市场规范和限制使用不可降解塑料袋。积极推广一次性塑料可替代产品。完善快递包装规范使用，规范塑料废弃物回收利用和处置。到2025年，全区塑料垃圾填埋量大幅降低，塑料污染得到有效控制。</w:t>
      </w:r>
    </w:p>
    <w:p w14:paraId="6D65D75C">
      <w:pPr>
        <w:pStyle w:val="4"/>
        <w:widowControl/>
        <w:spacing w:before="313" w:beforeLines="100" w:after="313" w:afterLines="100"/>
        <w:ind w:firstLine="0"/>
        <w:jc w:val="center"/>
        <w:outlineLvl w:val="1"/>
        <w:rPr>
          <w:highlight w:val="none"/>
        </w:rPr>
      </w:pPr>
      <w:bookmarkStart w:id="1200" w:name="_Toc88955446"/>
      <w:bookmarkStart w:id="1201" w:name="_Toc88954903"/>
      <w:bookmarkStart w:id="1202" w:name="_Toc19003"/>
      <w:bookmarkStart w:id="1203" w:name="_Toc15385"/>
      <w:bookmarkStart w:id="1204" w:name="_Toc27557"/>
      <w:bookmarkStart w:id="1205" w:name="_Toc1457"/>
      <w:bookmarkStart w:id="1206" w:name="_Toc24828"/>
      <w:bookmarkStart w:id="1207" w:name="_Toc22889"/>
      <w:bookmarkStart w:id="1208" w:name="_Toc3936"/>
      <w:bookmarkStart w:id="1209" w:name="_Toc5437"/>
      <w:bookmarkStart w:id="1210" w:name="_Toc14325"/>
      <w:bookmarkStart w:id="1211" w:name="_Toc20051"/>
      <w:bookmarkStart w:id="1212" w:name="_Toc6897"/>
      <w:bookmarkStart w:id="1213" w:name="_Toc5884"/>
      <w:bookmarkStart w:id="1214" w:name="_Toc20570"/>
      <w:bookmarkStart w:id="1215" w:name="_Toc24759"/>
      <w:bookmarkStart w:id="1216" w:name="_Toc10176"/>
      <w:bookmarkStart w:id="1217" w:name="_Toc29497"/>
      <w:bookmarkStart w:id="1218" w:name="_Toc18333"/>
      <w:bookmarkStart w:id="1219" w:name="_Toc18912"/>
      <w:bookmarkStart w:id="1220" w:name="_Toc2411"/>
      <w:bookmarkStart w:id="1221" w:name="_Toc26143"/>
      <w:bookmarkStart w:id="1222" w:name="_Toc21819"/>
      <w:bookmarkStart w:id="1223" w:name="_Toc1670"/>
      <w:bookmarkStart w:id="1224" w:name="_Toc15456"/>
      <w:bookmarkStart w:id="1225" w:name="_Toc10371"/>
      <w:bookmarkStart w:id="1226" w:name="_Toc28967"/>
      <w:bookmarkStart w:id="1227" w:name="_Toc15394"/>
      <w:r>
        <w:rPr>
          <w:rFonts w:hint="eastAsia"/>
          <w:highlight w:val="none"/>
          <w:lang w:val="en-US" w:eastAsia="zh-CN"/>
        </w:rPr>
        <w:t>配合上级</w:t>
      </w:r>
      <w:r>
        <w:rPr>
          <w:rFonts w:hint="eastAsia"/>
          <w:highlight w:val="none"/>
        </w:rPr>
        <w:t>加大</w:t>
      </w:r>
      <w:r>
        <w:rPr>
          <w:rFonts w:hint="eastAsia"/>
          <w:highlight w:val="none"/>
          <w:lang w:val="en-US" w:eastAsia="zh-CN"/>
        </w:rPr>
        <w:t>新污染物基础调查及排放控制</w:t>
      </w:r>
      <w:bookmarkEnd w:id="1200"/>
      <w:bookmarkEnd w:id="1201"/>
      <w:bookmarkEnd w:id="1202"/>
      <w:bookmarkEnd w:id="1203"/>
    </w:p>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14:paraId="6D2E6914">
      <w:pPr>
        <w:ind w:firstLine="640"/>
        <w:rPr>
          <w:rFonts w:hint="eastAsia"/>
          <w:highlight w:val="none"/>
          <w:lang w:bidi="ar"/>
        </w:rPr>
      </w:pPr>
      <w:r>
        <w:rPr>
          <w:rFonts w:hint="eastAsia"/>
          <w:highlight w:val="none"/>
          <w:lang w:val="en-US" w:eastAsia="zh-CN" w:bidi="ar"/>
        </w:rPr>
        <w:t>配合上级</w:t>
      </w:r>
      <w:r>
        <w:rPr>
          <w:rFonts w:hint="eastAsia"/>
          <w:highlight w:val="none"/>
          <w:lang w:bidi="ar"/>
        </w:rPr>
        <w:t>开展新污染物调查评估。</w:t>
      </w:r>
      <w:r>
        <w:rPr>
          <w:rFonts w:hint="eastAsia"/>
          <w:highlight w:val="none"/>
          <w:lang w:val="en-US" w:eastAsia="zh-CN" w:bidi="ar"/>
        </w:rPr>
        <w:t>按照上级安排部署，</w:t>
      </w:r>
      <w:r>
        <w:rPr>
          <w:rFonts w:hint="eastAsia"/>
          <w:highlight w:val="none"/>
          <w:lang w:bidi="ar"/>
        </w:rPr>
        <w:t>开展全</w:t>
      </w:r>
      <w:r>
        <w:rPr>
          <w:rFonts w:hint="eastAsia"/>
          <w:highlight w:val="none"/>
          <w:lang w:val="en-US" w:eastAsia="zh-CN" w:bidi="ar"/>
        </w:rPr>
        <w:t>区</w:t>
      </w:r>
      <w:r>
        <w:rPr>
          <w:rFonts w:hint="eastAsia"/>
          <w:highlight w:val="none"/>
          <w:lang w:bidi="ar"/>
        </w:rPr>
        <w:t>化学品基础信息调查更新，进行重点行业重点化学物质生产使用信息调查和环境危害评估，识别有毒有害化学物质。</w:t>
      </w:r>
    </w:p>
    <w:p w14:paraId="7B94334C">
      <w:pPr>
        <w:ind w:firstLine="640"/>
        <w:rPr>
          <w:highlight w:val="none"/>
          <w:lang w:bidi="ar"/>
        </w:rPr>
      </w:pPr>
      <w:r>
        <w:rPr>
          <w:rFonts w:hint="eastAsia"/>
          <w:highlight w:val="none"/>
          <w:lang w:bidi="ar"/>
        </w:rPr>
        <w:t>加强新污染物排放控制。提升新污染物环境监测、检测能力。对使用有毒有害化学物质或在生产过程中排放新污染物的企业，全面实施强制性清洁生产审核。加强</w:t>
      </w:r>
      <w:r>
        <w:rPr>
          <w:rFonts w:hint="eastAsia"/>
          <w:highlight w:val="none"/>
          <w:lang w:val="en-US" w:eastAsia="zh-CN" w:bidi="ar"/>
        </w:rPr>
        <w:t>重点</w:t>
      </w:r>
      <w:r>
        <w:rPr>
          <w:rFonts w:hint="eastAsia"/>
          <w:highlight w:val="none"/>
          <w:lang w:bidi="ar"/>
        </w:rPr>
        <w:t>行业新污染物环境风险管控。严格落实《产业结构调整指导目录》，强化绿色替代品和替代技术推广应用。严厉打击持久性有机污染物非法生产和使用、添汞产品非法生产等违法行为。</w:t>
      </w:r>
    </w:p>
    <w:p w14:paraId="17BF6FE7">
      <w:pPr>
        <w:pStyle w:val="4"/>
        <w:widowControl/>
        <w:spacing w:before="313" w:beforeLines="100" w:after="313" w:afterLines="100"/>
        <w:ind w:firstLine="0"/>
        <w:jc w:val="center"/>
        <w:outlineLvl w:val="1"/>
        <w:rPr>
          <w:highlight w:val="none"/>
        </w:rPr>
      </w:pPr>
      <w:bookmarkStart w:id="1228" w:name="_Toc88955450"/>
      <w:bookmarkStart w:id="1229" w:name="_Toc88954907"/>
      <w:bookmarkStart w:id="1230" w:name="_Toc8998"/>
      <w:bookmarkStart w:id="1231" w:name="_Toc6685"/>
      <w:bookmarkStart w:id="1232" w:name="_Toc28823"/>
      <w:bookmarkStart w:id="1233" w:name="_Toc8548"/>
      <w:bookmarkStart w:id="1234" w:name="_Toc29930"/>
      <w:bookmarkStart w:id="1235" w:name="_Toc15724"/>
      <w:bookmarkStart w:id="1236" w:name="_Toc15808"/>
      <w:bookmarkStart w:id="1237" w:name="_Toc4416"/>
      <w:bookmarkStart w:id="1238" w:name="_Toc28851"/>
      <w:bookmarkStart w:id="1239" w:name="_Toc13637"/>
      <w:bookmarkStart w:id="1240" w:name="_Toc18202"/>
      <w:bookmarkStart w:id="1241" w:name="_Toc20572"/>
      <w:bookmarkStart w:id="1242" w:name="_Toc30695"/>
      <w:bookmarkStart w:id="1243" w:name="_Toc9284"/>
      <w:bookmarkStart w:id="1244" w:name="_Toc30837"/>
      <w:bookmarkStart w:id="1245" w:name="_Toc31563"/>
      <w:bookmarkStart w:id="1246" w:name="_Toc18369"/>
      <w:bookmarkStart w:id="1247" w:name="_Toc9825"/>
      <w:bookmarkStart w:id="1248" w:name="_Toc17839"/>
      <w:bookmarkStart w:id="1249" w:name="_Toc25653"/>
      <w:bookmarkStart w:id="1250" w:name="_Toc3333"/>
      <w:bookmarkStart w:id="1251" w:name="_Toc2816"/>
      <w:bookmarkStart w:id="1252" w:name="_Toc13710"/>
      <w:bookmarkStart w:id="1253" w:name="_Toc9390"/>
      <w:bookmarkStart w:id="1254" w:name="_Toc10545"/>
      <w:bookmarkStart w:id="1255" w:name="_Toc24884"/>
      <w:r>
        <w:rPr>
          <w:rFonts w:hint="eastAsia"/>
          <w:highlight w:val="none"/>
        </w:rPr>
        <w:t>强化环境预警防控与应急</w:t>
      </w:r>
      <w:bookmarkEnd w:id="1228"/>
      <w:bookmarkEnd w:id="1229"/>
      <w:bookmarkEnd w:id="1230"/>
      <w:r>
        <w:rPr>
          <w:rFonts w:hint="eastAsia"/>
          <w:highlight w:val="none"/>
          <w:lang w:val="en-US" w:eastAsia="zh-CN"/>
        </w:rPr>
        <w:t>管理</w:t>
      </w:r>
      <w:bookmarkEnd w:id="1231"/>
    </w:p>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p w14:paraId="476F31B4">
      <w:pPr>
        <w:ind w:firstLine="640"/>
        <w:rPr>
          <w:highlight w:val="none"/>
          <w:lang w:bidi="ar"/>
        </w:rPr>
      </w:pPr>
      <w:bookmarkStart w:id="1256" w:name="_Toc8589"/>
      <w:bookmarkStart w:id="1257" w:name="_Toc88955452"/>
      <w:bookmarkStart w:id="1258" w:name="_Toc25428"/>
      <w:bookmarkStart w:id="1259" w:name="_Toc15849"/>
      <w:bookmarkStart w:id="1260" w:name="_Toc32741"/>
      <w:bookmarkStart w:id="1261" w:name="_Toc22264"/>
      <w:bookmarkStart w:id="1262" w:name="_Toc22016"/>
      <w:bookmarkStart w:id="1263" w:name="_Toc21805"/>
      <w:bookmarkStart w:id="1264" w:name="_Toc31748"/>
      <w:bookmarkStart w:id="1265" w:name="_Toc27803"/>
      <w:bookmarkStart w:id="1266" w:name="_Toc31969"/>
      <w:bookmarkStart w:id="1267" w:name="_Toc25430"/>
      <w:bookmarkStart w:id="1268" w:name="_Toc18933"/>
      <w:bookmarkStart w:id="1269" w:name="_Toc30275"/>
      <w:bookmarkStart w:id="1270" w:name="_Toc15739"/>
      <w:bookmarkStart w:id="1271" w:name="_Toc25303"/>
      <w:bookmarkStart w:id="1272" w:name="_Toc24472"/>
      <w:bookmarkStart w:id="1273" w:name="_Toc32649"/>
      <w:bookmarkStart w:id="1274" w:name="_Toc23578"/>
      <w:bookmarkStart w:id="1275" w:name="_Toc24413"/>
      <w:bookmarkStart w:id="1276" w:name="_Toc88954909"/>
      <w:bookmarkStart w:id="1277" w:name="_Toc4319"/>
      <w:bookmarkStart w:id="1278" w:name="_Toc28840"/>
      <w:bookmarkStart w:id="1279" w:name="_Toc18427"/>
      <w:bookmarkStart w:id="1280" w:name="_Toc4714"/>
      <w:bookmarkStart w:id="1281" w:name="_Toc21693"/>
      <w:bookmarkStart w:id="1282" w:name="_Toc9257"/>
      <w:r>
        <w:rPr>
          <w:rFonts w:hint="eastAsia"/>
          <w:highlight w:val="none"/>
          <w:lang w:bidi="ar"/>
        </w:rPr>
        <w:t>加强环境风险预警</w:t>
      </w:r>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hint="eastAsia"/>
          <w:highlight w:val="none"/>
          <w:lang w:val="en-US" w:eastAsia="zh-CN" w:bidi="ar"/>
        </w:rPr>
        <w:t>防控。完善突发环境事件应急管理多层次预案体系，健全生态环境风险动态评价和管控机制及突发环境事件应对工作机制。提升流域突发水污染事件应急准备和应急能力。完善环境安全例会和例检，定期开展企事业环境风险隐患排查专项整治。完善环境应急响应体系，规范环境应急响应流程，加强环境风险监控和污染控制，及时科学处置突发环境事件。实施企业环境应急预案电子化备案，实现涉危涉重企业全覆盖。加强对政府、企业预案的动态管理，规范定期开展各级环境应急演练和培训制度。</w:t>
      </w:r>
    </w:p>
    <w:p w14:paraId="1BC95CDF">
      <w:pPr>
        <w:ind w:firstLine="640"/>
        <w:rPr>
          <w:highlight w:val="none"/>
          <w:lang w:bidi="ar"/>
        </w:rPr>
      </w:pPr>
      <w:r>
        <w:rPr>
          <w:rFonts w:hint="eastAsia"/>
          <w:highlight w:val="none"/>
          <w:lang w:bidi="ar"/>
        </w:rPr>
        <w:t>加强环境应急能力建设。以危险化学品运输道路为重点，强化环境风险评估和完善环境风险防范措施。加强应急监测能力，建设环境应急物资储备库。推动专业化应急队伍建设。加强</w:t>
      </w:r>
      <w:r>
        <w:rPr>
          <w:rFonts w:hint="eastAsia"/>
          <w:highlight w:val="none"/>
          <w:lang w:val="en-US" w:eastAsia="zh-CN" w:bidi="ar"/>
        </w:rPr>
        <w:t>全</w:t>
      </w:r>
      <w:r>
        <w:rPr>
          <w:rFonts w:hint="eastAsia"/>
          <w:highlight w:val="none"/>
          <w:lang w:bidi="ar"/>
        </w:rPr>
        <w:t>区应急监测装备配置，定期开展应急监测演练，增强实战能力。</w:t>
      </w:r>
    </w:p>
    <w:p w14:paraId="43CD12B7">
      <w:pPr>
        <w:ind w:firstLine="640"/>
        <w:rPr>
          <w:highlight w:val="none"/>
          <w:lang w:bidi="ar"/>
        </w:rPr>
        <w:sectPr>
          <w:pgSz w:w="11906" w:h="16838"/>
          <w:pgMar w:top="1440" w:right="1800" w:bottom="1440" w:left="1800" w:header="851" w:footer="992" w:gutter="0"/>
          <w:pgNumType w:fmt="numberInDash"/>
          <w:cols w:space="425" w:num="1"/>
          <w:docGrid w:type="lines" w:linePitch="312" w:charSpace="0"/>
        </w:sectPr>
      </w:pPr>
    </w:p>
    <w:p w14:paraId="715BBCF8">
      <w:pPr>
        <w:pStyle w:val="3"/>
        <w:keepNext w:val="0"/>
        <w:keepLines w:val="0"/>
        <w:pageBreakBefore w:val="0"/>
        <w:widowControl w:val="0"/>
        <w:kinsoku/>
        <w:wordWrap/>
        <w:overflowPunct/>
        <w:topLinePunct w:val="0"/>
        <w:autoSpaceDE/>
        <w:autoSpaceDN/>
        <w:bidi w:val="0"/>
        <w:adjustRightInd/>
        <w:snapToGrid/>
        <w:spacing w:before="313" w:beforeLines="100" w:after="313" w:afterLines="100"/>
        <w:ind w:firstLine="0"/>
        <w:jc w:val="center"/>
        <w:textAlignment w:val="auto"/>
        <w:outlineLvl w:val="0"/>
        <w:rPr>
          <w:highlight w:val="none"/>
        </w:rPr>
      </w:pPr>
      <w:bookmarkStart w:id="1283" w:name="_Toc16272"/>
      <w:bookmarkStart w:id="1284" w:name="_Toc15899"/>
      <w:bookmarkStart w:id="1285" w:name="_Toc31925"/>
      <w:bookmarkStart w:id="1286" w:name="_Toc27721"/>
      <w:bookmarkStart w:id="1287" w:name="_Toc88954911"/>
      <w:bookmarkStart w:id="1288" w:name="_Toc15667"/>
      <w:bookmarkStart w:id="1289" w:name="_Toc4354"/>
      <w:bookmarkStart w:id="1290" w:name="_Toc27124"/>
      <w:bookmarkStart w:id="1291" w:name="_Toc25580"/>
      <w:bookmarkStart w:id="1292" w:name="_Toc16099"/>
      <w:bookmarkStart w:id="1293" w:name="_Toc5096"/>
      <w:bookmarkStart w:id="1294" w:name="_Toc21041"/>
      <w:bookmarkStart w:id="1295" w:name="_Toc2925"/>
      <w:bookmarkStart w:id="1296" w:name="_Toc18325"/>
      <w:bookmarkStart w:id="1297" w:name="_Toc19220"/>
      <w:bookmarkStart w:id="1298" w:name="_Toc6502"/>
      <w:bookmarkStart w:id="1299" w:name="_Toc955"/>
      <w:bookmarkStart w:id="1300" w:name="_Toc8139"/>
      <w:bookmarkStart w:id="1301" w:name="_Toc20373"/>
      <w:bookmarkStart w:id="1302" w:name="_Toc4376"/>
      <w:bookmarkStart w:id="1303" w:name="_Toc29111"/>
      <w:bookmarkStart w:id="1304" w:name="_Toc7859"/>
      <w:bookmarkStart w:id="1305" w:name="_Toc4587"/>
      <w:bookmarkStart w:id="1306" w:name="_Toc16306"/>
      <w:bookmarkStart w:id="1307" w:name="_Toc5170"/>
      <w:bookmarkStart w:id="1308" w:name="_Toc88955454"/>
      <w:bookmarkStart w:id="1309" w:name="_Toc32626"/>
      <w:bookmarkStart w:id="1310" w:name="_Toc29712"/>
      <w:bookmarkStart w:id="1311" w:name="_Toc26989"/>
      <w:r>
        <w:rPr>
          <w:rFonts w:hint="eastAsia"/>
          <w:highlight w:val="none"/>
        </w:rPr>
        <w:t>深化改革创新，</w:t>
      </w:r>
      <w:bookmarkEnd w:id="1283"/>
      <w:r>
        <w:rPr>
          <w:rFonts w:hint="eastAsia"/>
          <w:highlight w:val="none"/>
        </w:rPr>
        <w:t>构建现代环境治理体系</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p>
    <w:p w14:paraId="116E13FD">
      <w:pPr>
        <w:pStyle w:val="4"/>
        <w:keepNext w:val="0"/>
        <w:keepLines w:val="0"/>
        <w:pageBreakBefore w:val="0"/>
        <w:widowControl/>
        <w:kinsoku/>
        <w:wordWrap/>
        <w:overflowPunct/>
        <w:topLinePunct w:val="0"/>
        <w:autoSpaceDE/>
        <w:autoSpaceDN/>
        <w:bidi w:val="0"/>
        <w:adjustRightInd/>
        <w:snapToGrid/>
        <w:spacing w:before="313" w:beforeLines="100" w:after="313" w:afterLines="100"/>
        <w:ind w:firstLine="0" w:firstLineChars="0"/>
        <w:jc w:val="center"/>
        <w:textAlignment w:val="auto"/>
        <w:outlineLvl w:val="1"/>
        <w:rPr>
          <w:highlight w:val="none"/>
        </w:rPr>
      </w:pPr>
      <w:bookmarkStart w:id="1312" w:name="_Toc16229"/>
      <w:bookmarkStart w:id="1313" w:name="_Toc88955455"/>
      <w:bookmarkStart w:id="1314" w:name="_Toc17606"/>
      <w:bookmarkStart w:id="1315" w:name="_Toc88954912"/>
      <w:bookmarkStart w:id="1316" w:name="_Toc6833"/>
      <w:bookmarkStart w:id="1317" w:name="_Toc365"/>
      <w:bookmarkStart w:id="1318" w:name="_Toc14275"/>
      <w:bookmarkStart w:id="1319" w:name="_Toc20678"/>
      <w:bookmarkStart w:id="1320" w:name="_Toc29834"/>
      <w:bookmarkStart w:id="1321" w:name="_Toc18714"/>
      <w:bookmarkStart w:id="1322" w:name="_Toc6159"/>
      <w:bookmarkStart w:id="1323" w:name="_Toc1096"/>
      <w:bookmarkStart w:id="1324" w:name="_Toc23900"/>
      <w:bookmarkStart w:id="1325" w:name="_Toc7158"/>
      <w:bookmarkStart w:id="1326" w:name="_Toc8156"/>
      <w:bookmarkStart w:id="1327" w:name="_Toc24967"/>
      <w:bookmarkStart w:id="1328" w:name="_Toc14067"/>
      <w:bookmarkStart w:id="1329" w:name="_Toc8713"/>
      <w:bookmarkStart w:id="1330" w:name="_Toc24515"/>
      <w:bookmarkStart w:id="1331" w:name="_Toc31899"/>
      <w:bookmarkStart w:id="1332" w:name="_Toc12147"/>
      <w:bookmarkStart w:id="1333" w:name="_Toc4887"/>
      <w:bookmarkStart w:id="1334" w:name="_Toc26872"/>
      <w:bookmarkStart w:id="1335" w:name="_Toc9458"/>
      <w:bookmarkStart w:id="1336" w:name="_Toc17723"/>
      <w:bookmarkStart w:id="1337" w:name="_Toc30453"/>
      <w:bookmarkStart w:id="1338" w:name="_Toc30300"/>
      <w:bookmarkStart w:id="1339" w:name="_Toc2654"/>
      <w:bookmarkStart w:id="1340" w:name="_Toc31438"/>
      <w:r>
        <w:rPr>
          <w:rFonts w:hint="eastAsia"/>
          <w:highlight w:val="none"/>
          <w:lang w:val="en-US" w:eastAsia="zh-CN"/>
        </w:rPr>
        <w:t>创新</w:t>
      </w:r>
      <w:r>
        <w:rPr>
          <w:rFonts w:hint="eastAsia"/>
          <w:highlight w:val="none"/>
        </w:rPr>
        <w:t>生态环境管理模式</w:t>
      </w:r>
      <w:bookmarkEnd w:id="1312"/>
      <w:bookmarkEnd w:id="1313"/>
      <w:bookmarkEnd w:id="1314"/>
      <w:bookmarkEnd w:id="1315"/>
    </w:p>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p w14:paraId="4D50208F">
      <w:pPr>
        <w:widowControl/>
        <w:spacing w:before="156" w:beforeLines="50" w:after="156" w:afterLines="50"/>
        <w:ind w:firstLine="640"/>
        <w:jc w:val="both"/>
        <w:rPr>
          <w:rFonts w:ascii="楷体_GB2312" w:hAnsi="楷体_GB2312" w:eastAsia="楷体_GB2312" w:cs="楷体_GB2312"/>
          <w:szCs w:val="32"/>
          <w:highlight w:val="none"/>
        </w:rPr>
      </w:pPr>
      <w:r>
        <w:rPr>
          <w:rFonts w:hint="eastAsia" w:ascii="仿宋_GB2312" w:hAnsi="宋体" w:cs="仿宋_GB2312"/>
          <w:color w:val="000000"/>
          <w:kern w:val="0"/>
          <w:szCs w:val="32"/>
          <w:highlight w:val="none"/>
          <w:lang w:val="en-US" w:eastAsia="zh-CN" w:bidi="ar"/>
        </w:rPr>
        <w:t>强化生态环境保护领导责任。</w:t>
      </w:r>
      <w:r>
        <w:rPr>
          <w:rFonts w:hint="eastAsia" w:ascii="仿宋_GB2312" w:hAnsi="宋体" w:cs="仿宋_GB2312"/>
          <w:color w:val="000000"/>
          <w:kern w:val="0"/>
          <w:szCs w:val="32"/>
          <w:highlight w:val="none"/>
          <w:lang w:bidi="ar"/>
        </w:rPr>
        <w:t>贯彻执行《</w:t>
      </w:r>
      <w:r>
        <w:rPr>
          <w:rFonts w:hint="eastAsia" w:ascii="仿宋_GB2312" w:hAnsi="宋体" w:cs="仿宋_GB2312"/>
          <w:color w:val="000000"/>
          <w:kern w:val="0"/>
          <w:szCs w:val="32"/>
          <w:highlight w:val="none"/>
          <w:lang w:val="en-US" w:eastAsia="zh-CN" w:bidi="ar"/>
        </w:rPr>
        <w:t>扎赉</w:t>
      </w:r>
      <w:r>
        <w:rPr>
          <w:rFonts w:hint="eastAsia" w:ascii="仿宋_GB2312" w:hAnsi="宋体" w:cs="仿宋_GB2312"/>
          <w:color w:val="000000"/>
          <w:kern w:val="0"/>
          <w:szCs w:val="32"/>
          <w:highlight w:val="none"/>
          <w:lang w:bidi="ar"/>
        </w:rPr>
        <w:t>诺尔区各级党委和政府及有关部门单位生态环境保护责任清单》，发</w:t>
      </w:r>
      <w:r>
        <w:rPr>
          <w:rFonts w:hint="eastAsia" w:ascii="仿宋_GB2312" w:hAnsi="宋体" w:cs="仿宋_GB2312"/>
          <w:kern w:val="0"/>
          <w:szCs w:val="32"/>
          <w:highlight w:val="none"/>
          <w:lang w:bidi="ar"/>
        </w:rPr>
        <w:t>挥</w:t>
      </w:r>
      <w:r>
        <w:rPr>
          <w:rFonts w:hint="eastAsia" w:ascii="仿宋_GB2312" w:hAnsi="宋体" w:cs="仿宋_GB2312"/>
          <w:color w:val="000000"/>
          <w:kern w:val="0"/>
          <w:szCs w:val="32"/>
          <w:highlight w:val="none"/>
          <w:lang w:bidi="ar"/>
        </w:rPr>
        <w:t>生态环境保护委员会职能作用。区党委政府对全区生态环境污染防治负总责，承担</w:t>
      </w:r>
      <w:r>
        <w:rPr>
          <w:rFonts w:hint="eastAsia" w:ascii="仿宋_GB2312" w:hAnsi="宋体" w:cs="仿宋_GB2312"/>
          <w:color w:val="000000"/>
          <w:kern w:val="0"/>
          <w:szCs w:val="32"/>
          <w:highlight w:val="none"/>
          <w:lang w:val="en-US" w:eastAsia="zh-CN" w:bidi="ar"/>
        </w:rPr>
        <w:t>污染防治、</w:t>
      </w:r>
      <w:r>
        <w:rPr>
          <w:rFonts w:hint="eastAsia" w:ascii="仿宋_GB2312" w:hAnsi="宋体" w:cs="仿宋_GB2312"/>
          <w:color w:val="000000"/>
          <w:kern w:val="0"/>
          <w:szCs w:val="32"/>
          <w:highlight w:val="none"/>
          <w:lang w:bidi="ar"/>
        </w:rPr>
        <w:t>生态保护、监管执法、市场规范、资金安排、宣传教育等工作；健全部门协作机制，有关部门对生态环境保护分工负责，构建各负其责、</w:t>
      </w:r>
      <w:r>
        <w:rPr>
          <w:rFonts w:hint="eastAsia" w:ascii="仿宋_GB2312" w:hAnsi="黑体" w:cs="Times New Roman"/>
          <w:bCs/>
          <w:szCs w:val="32"/>
          <w:highlight w:val="none"/>
        </w:rPr>
        <w:t>齐抓共管</w:t>
      </w:r>
      <w:r>
        <w:rPr>
          <w:rFonts w:hint="eastAsia" w:ascii="仿宋_GB2312" w:hAnsi="宋体" w:cs="仿宋_GB2312"/>
          <w:color w:val="000000"/>
          <w:kern w:val="0"/>
          <w:szCs w:val="32"/>
          <w:highlight w:val="none"/>
          <w:lang w:bidi="ar"/>
        </w:rPr>
        <w:t>的生态环境保护新格局。</w:t>
      </w:r>
      <w:r>
        <w:rPr>
          <w:rFonts w:hint="eastAsia" w:ascii="仿宋_GB2312" w:hAnsi="宋体" w:cs="仿宋_GB2312"/>
          <w:color w:val="000000"/>
          <w:kern w:val="0"/>
          <w:szCs w:val="32"/>
          <w:highlight w:val="none"/>
          <w:lang w:val="en-US" w:eastAsia="zh-CN" w:bidi="ar"/>
        </w:rPr>
        <w:t>持续推进</w:t>
      </w:r>
      <w:r>
        <w:rPr>
          <w:rFonts w:hint="eastAsia" w:ascii="仿宋_GB2312" w:hAnsi="宋体" w:cs="仿宋_GB2312"/>
          <w:color w:val="000000"/>
          <w:kern w:val="0"/>
          <w:szCs w:val="32"/>
          <w:highlight w:val="none"/>
          <w:lang w:bidi="ar"/>
        </w:rPr>
        <w:t>领导干部自然资源资产离任（任中）审计</w:t>
      </w:r>
      <w:r>
        <w:rPr>
          <w:rFonts w:hint="eastAsia" w:ascii="仿宋_GB2312" w:hAnsi="宋体" w:cs="仿宋_GB2312"/>
          <w:color w:val="000000"/>
          <w:kern w:val="0"/>
          <w:szCs w:val="32"/>
          <w:highlight w:val="none"/>
          <w:lang w:eastAsia="zh-CN" w:bidi="ar"/>
        </w:rPr>
        <w:t>、</w:t>
      </w:r>
      <w:r>
        <w:rPr>
          <w:rFonts w:hint="eastAsia" w:ascii="仿宋_GB2312" w:hAnsi="宋体" w:cs="仿宋_GB2312"/>
          <w:color w:val="000000"/>
          <w:kern w:val="0"/>
          <w:szCs w:val="32"/>
          <w:highlight w:val="none"/>
          <w:lang w:bidi="ar"/>
        </w:rPr>
        <w:t>生态环境损害责任终身追究。</w:t>
      </w:r>
    </w:p>
    <w:p w14:paraId="46934DA5">
      <w:pPr>
        <w:widowControl/>
        <w:ind w:firstLine="640"/>
        <w:jc w:val="left"/>
        <w:rPr>
          <w:rFonts w:ascii="楷体_GB2312" w:hAnsi="楷体_GB2312" w:cs="楷体_GB2312"/>
          <w:highlight w:val="none"/>
        </w:rPr>
      </w:pPr>
      <w:bookmarkStart w:id="1341" w:name="_Toc88954915"/>
      <w:bookmarkStart w:id="1342" w:name="_Toc8794"/>
      <w:bookmarkStart w:id="1343" w:name="_Toc25112"/>
      <w:bookmarkStart w:id="1344" w:name="_Toc21867"/>
      <w:bookmarkStart w:id="1345" w:name="_Toc88955458"/>
      <w:bookmarkStart w:id="1346" w:name="_Toc12844"/>
      <w:bookmarkStart w:id="1347" w:name="_Toc27597"/>
      <w:bookmarkStart w:id="1348" w:name="_Toc26193"/>
      <w:bookmarkStart w:id="1349" w:name="_Toc19101"/>
      <w:bookmarkStart w:id="1350" w:name="_Toc29813"/>
      <w:bookmarkStart w:id="1351" w:name="_Toc24296"/>
      <w:bookmarkStart w:id="1352" w:name="_Toc30230"/>
      <w:bookmarkStart w:id="1353" w:name="_Toc16364"/>
      <w:bookmarkStart w:id="1354" w:name="_Toc18705"/>
      <w:bookmarkStart w:id="1355" w:name="_Toc26834"/>
      <w:bookmarkStart w:id="1356" w:name="_Toc21437"/>
      <w:bookmarkStart w:id="1357" w:name="_Toc32137"/>
      <w:bookmarkStart w:id="1358" w:name="_Toc12381"/>
      <w:bookmarkStart w:id="1359" w:name="_Toc16698"/>
      <w:bookmarkStart w:id="1360" w:name="_Toc27809"/>
      <w:bookmarkStart w:id="1361" w:name="_Toc7320"/>
      <w:bookmarkStart w:id="1362" w:name="_Toc31053"/>
      <w:bookmarkStart w:id="1363" w:name="_Toc10960"/>
      <w:bookmarkStart w:id="1364" w:name="_Toc15380"/>
      <w:bookmarkStart w:id="1365" w:name="_Toc17955"/>
      <w:bookmarkStart w:id="1366" w:name="_Toc29464"/>
      <w:bookmarkStart w:id="1367" w:name="_Toc2155"/>
      <w:r>
        <w:rPr>
          <w:rFonts w:hint="eastAsia" w:ascii="仿宋_GB2312" w:hAnsi="宋体" w:cs="仿宋_GB2312"/>
          <w:color w:val="000000"/>
          <w:kern w:val="0"/>
          <w:szCs w:val="32"/>
          <w:highlight w:val="none"/>
          <w:lang w:bidi="ar"/>
        </w:rPr>
        <w:t>落实企业生态</w:t>
      </w:r>
      <w:r>
        <w:rPr>
          <w:rFonts w:hint="eastAsia" w:ascii="仿宋_GB2312" w:hAnsi="宋体" w:cs="仿宋_GB2312"/>
          <w:color w:val="000000"/>
          <w:kern w:val="0"/>
          <w:szCs w:val="32"/>
          <w:highlight w:val="none"/>
          <w:lang w:val="en-US" w:eastAsia="zh-CN" w:bidi="ar"/>
        </w:rPr>
        <w:t>环</w:t>
      </w:r>
      <w:r>
        <w:rPr>
          <w:rFonts w:hint="eastAsia" w:ascii="仿宋_GB2312" w:hAnsi="宋体" w:cs="仿宋_GB2312"/>
          <w:color w:val="000000"/>
          <w:kern w:val="0"/>
          <w:szCs w:val="32"/>
          <w:highlight w:val="none"/>
          <w:lang w:bidi="ar"/>
        </w:rPr>
        <w:t>境保护主体责任</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r>
        <w:rPr>
          <w:rFonts w:hint="eastAsia" w:ascii="仿宋_GB2312" w:hAnsi="宋体" w:cs="仿宋_GB2312"/>
          <w:color w:val="000000"/>
          <w:kern w:val="0"/>
          <w:szCs w:val="32"/>
          <w:highlight w:val="none"/>
          <w:lang w:eastAsia="zh-CN" w:bidi="ar"/>
        </w:rPr>
        <w:t>。</w:t>
      </w:r>
      <w:r>
        <w:rPr>
          <w:rFonts w:hint="eastAsia" w:ascii="仿宋_GB2312" w:hAnsi="宋体" w:cs="仿宋_GB2312"/>
          <w:color w:val="000000"/>
          <w:kern w:val="0"/>
          <w:szCs w:val="32"/>
          <w:highlight w:val="none"/>
          <w:lang w:bidi="ar"/>
        </w:rPr>
        <w:t>严格执行环境影响评价、排污许可、排污权交易等法律法规，压实排污企业生产过程减排责任。淘汰落后生产工艺技术、开展技术创新，推行清洁生产，加强全过程管理，严格</w:t>
      </w:r>
      <w:r>
        <w:rPr>
          <w:rFonts w:hint="default" w:ascii="仿宋_GB2312" w:hAnsi="宋体" w:cs="仿宋_GB2312"/>
          <w:color w:val="000000"/>
          <w:kern w:val="0"/>
          <w:szCs w:val="32"/>
          <w:highlight w:val="none"/>
          <w:lang w:val="en-US" w:bidi="ar"/>
        </w:rPr>
        <w:t>落实</w:t>
      </w:r>
      <w:r>
        <w:rPr>
          <w:rFonts w:hint="eastAsia" w:ascii="仿宋_GB2312" w:hAnsi="宋体" w:cs="仿宋_GB2312"/>
          <w:color w:val="000000"/>
          <w:kern w:val="0"/>
          <w:szCs w:val="32"/>
          <w:highlight w:val="none"/>
          <w:lang w:bidi="ar"/>
        </w:rPr>
        <w:t>企业</w:t>
      </w:r>
      <w:r>
        <w:rPr>
          <w:rFonts w:hint="default" w:ascii="仿宋_GB2312" w:hAnsi="宋体" w:cs="仿宋_GB2312"/>
          <w:color w:val="000000"/>
          <w:kern w:val="0"/>
          <w:szCs w:val="32"/>
          <w:highlight w:val="none"/>
          <w:lang w:val="en-US" w:bidi="ar"/>
        </w:rPr>
        <w:t>源头防控、依法排污的责任</w:t>
      </w:r>
      <w:r>
        <w:rPr>
          <w:rFonts w:hint="eastAsia" w:ascii="仿宋_GB2312" w:hAnsi="宋体" w:cs="仿宋_GB2312"/>
          <w:color w:val="000000"/>
          <w:kern w:val="0"/>
          <w:szCs w:val="32"/>
          <w:highlight w:val="none"/>
          <w:lang w:bidi="ar"/>
        </w:rPr>
        <w:t>。利用生态环境大数据平台统一企业环境管理信息，推动企业</w:t>
      </w:r>
      <w:r>
        <w:rPr>
          <w:rFonts w:hint="eastAsia" w:ascii="仿宋_GB2312" w:hAnsi="宋体" w:cs="仿宋_GB2312"/>
          <w:color w:val="000000"/>
          <w:kern w:val="0"/>
          <w:szCs w:val="32"/>
          <w:highlight w:val="none"/>
          <w:lang w:val="en-US" w:eastAsia="zh-CN" w:bidi="ar"/>
        </w:rPr>
        <w:t>主动开展</w:t>
      </w:r>
      <w:r>
        <w:rPr>
          <w:rFonts w:hint="eastAsia" w:ascii="仿宋_GB2312" w:hAnsi="宋体" w:cs="仿宋_GB2312"/>
          <w:color w:val="000000"/>
          <w:kern w:val="0"/>
          <w:szCs w:val="32"/>
          <w:highlight w:val="none"/>
          <w:lang w:bidi="ar"/>
        </w:rPr>
        <w:t>排污许可、监督性监测、在线监测、环境违法、</w:t>
      </w:r>
      <w:r>
        <w:rPr>
          <w:rFonts w:hint="eastAsia" w:ascii="仿宋_GB2312" w:hAnsi="黑体" w:cs="Times New Roman"/>
          <w:bCs/>
          <w:szCs w:val="32"/>
          <w:highlight w:val="none"/>
        </w:rPr>
        <w:t>环境</w:t>
      </w:r>
      <w:r>
        <w:rPr>
          <w:rFonts w:hint="eastAsia" w:ascii="仿宋_GB2312" w:hAnsi="黑体" w:cs="Times New Roman"/>
          <w:bCs/>
          <w:szCs w:val="32"/>
          <w:highlight w:val="none"/>
          <w:lang w:val="en-US" w:eastAsia="zh-CN"/>
        </w:rPr>
        <w:t>保护</w:t>
      </w:r>
      <w:r>
        <w:rPr>
          <w:rFonts w:hint="eastAsia" w:ascii="仿宋_GB2312" w:hAnsi="宋体" w:cs="仿宋_GB2312"/>
          <w:color w:val="000000"/>
          <w:kern w:val="0"/>
          <w:szCs w:val="32"/>
          <w:highlight w:val="none"/>
          <w:lang w:bidi="ar"/>
        </w:rPr>
        <w:t>税、企业生态环境信用评价等环境信息强制性披露</w:t>
      </w:r>
      <w:r>
        <w:rPr>
          <w:rFonts w:hint="eastAsia" w:ascii="仿宋_GB2312" w:hAnsi="宋体" w:cs="仿宋_GB2312"/>
          <w:color w:val="000000"/>
          <w:kern w:val="0"/>
          <w:szCs w:val="32"/>
          <w:highlight w:val="none"/>
          <w:lang w:eastAsia="zh-CN" w:bidi="ar"/>
        </w:rPr>
        <w:t>。</w:t>
      </w:r>
    </w:p>
    <w:p w14:paraId="0401B609">
      <w:pPr>
        <w:ind w:firstLine="640"/>
        <w:rPr>
          <w:highlight w:val="none"/>
          <w:lang w:bidi="ar"/>
        </w:rPr>
      </w:pPr>
      <w:bookmarkStart w:id="1368" w:name="_Toc88954917"/>
      <w:bookmarkStart w:id="1369" w:name="_Toc383"/>
      <w:bookmarkStart w:id="1370" w:name="_Toc25576"/>
      <w:bookmarkStart w:id="1371" w:name="_Toc25393"/>
      <w:bookmarkStart w:id="1372" w:name="_Toc19867"/>
      <w:bookmarkStart w:id="1373" w:name="_Toc650"/>
      <w:bookmarkStart w:id="1374" w:name="_Toc15387"/>
      <w:bookmarkStart w:id="1375" w:name="_Toc13558"/>
      <w:bookmarkStart w:id="1376" w:name="_Toc88955460"/>
      <w:bookmarkStart w:id="1377" w:name="_Toc12806"/>
      <w:bookmarkStart w:id="1378" w:name="_Toc13213"/>
      <w:bookmarkStart w:id="1379" w:name="_Toc12069"/>
      <w:bookmarkStart w:id="1380" w:name="_Toc28364"/>
      <w:bookmarkStart w:id="1381" w:name="_Toc20878"/>
      <w:bookmarkStart w:id="1382" w:name="_Toc17464"/>
      <w:bookmarkStart w:id="1383" w:name="_Toc9738"/>
      <w:bookmarkStart w:id="1384" w:name="_Toc6063"/>
      <w:bookmarkStart w:id="1385" w:name="_Toc1654"/>
      <w:bookmarkStart w:id="1386" w:name="_Toc2789"/>
      <w:bookmarkStart w:id="1387" w:name="_Toc2621"/>
      <w:bookmarkStart w:id="1388" w:name="_Toc7488"/>
      <w:bookmarkStart w:id="1389" w:name="_Toc1282"/>
      <w:bookmarkStart w:id="1390" w:name="_Toc24976"/>
      <w:bookmarkStart w:id="1391" w:name="_Toc1508"/>
      <w:bookmarkStart w:id="1392" w:name="_Toc22953"/>
      <w:bookmarkStart w:id="1393" w:name="_Toc4352"/>
      <w:bookmarkStart w:id="1394" w:name="_Toc15154"/>
      <w:r>
        <w:rPr>
          <w:highlight w:val="none"/>
          <w:lang w:bidi="ar"/>
        </w:rPr>
        <w:t>健全环境治理信用管理体系</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highlight w:val="none"/>
          <w:lang w:bidi="ar"/>
        </w:rPr>
        <w:t>。健全企业环保信用体系，</w:t>
      </w:r>
      <w:r>
        <w:rPr>
          <w:rFonts w:hint="eastAsia"/>
          <w:highlight w:val="none"/>
          <w:lang w:eastAsia="zh-CN" w:bidi="ar"/>
        </w:rPr>
        <w:t>不断扩大参评企业覆盖面，</w:t>
      </w:r>
      <w:r>
        <w:rPr>
          <w:highlight w:val="none"/>
          <w:lang w:bidi="ar"/>
        </w:rPr>
        <w:t>强化企业</w:t>
      </w:r>
      <w:r>
        <w:rPr>
          <w:rFonts w:hint="eastAsia"/>
          <w:highlight w:val="none"/>
          <w:lang w:bidi="ar"/>
        </w:rPr>
        <w:t>“</w:t>
      </w:r>
      <w:r>
        <w:rPr>
          <w:highlight w:val="none"/>
          <w:lang w:bidi="ar"/>
        </w:rPr>
        <w:t>三同时</w:t>
      </w:r>
      <w:r>
        <w:rPr>
          <w:rFonts w:hint="eastAsia"/>
          <w:highlight w:val="none"/>
          <w:lang w:bidi="ar"/>
        </w:rPr>
        <w:t>”</w:t>
      </w:r>
      <w:r>
        <w:rPr>
          <w:highlight w:val="none"/>
          <w:lang w:bidi="ar"/>
        </w:rPr>
        <w:t>、自行监测、违法处罚等环境管理信息数据的采集、整理，完善信息公开制度。完善环评、验收、清洁生产等服务咨询机构及其从业人员、专家诚信档案数据库。构建企业环境行为</w:t>
      </w:r>
      <w:r>
        <w:rPr>
          <w:rFonts w:hint="eastAsia" w:hAnsi="黑体" w:cs="Times New Roman"/>
          <w:bCs/>
          <w:highlight w:val="none"/>
        </w:rPr>
        <w:t>信用</w:t>
      </w:r>
      <w:r>
        <w:rPr>
          <w:highlight w:val="none"/>
          <w:lang w:bidi="ar"/>
        </w:rPr>
        <w:t>信息共享机制</w:t>
      </w:r>
      <w:r>
        <w:rPr>
          <w:rFonts w:hint="eastAsia"/>
          <w:highlight w:val="none"/>
          <w:lang w:eastAsia="zh-CN" w:bidi="ar"/>
        </w:rPr>
        <w:t>，</w:t>
      </w:r>
      <w:r>
        <w:rPr>
          <w:highlight w:val="none"/>
          <w:lang w:bidi="ar"/>
        </w:rPr>
        <w:t>加强与银行、证券、保险、商务</w:t>
      </w:r>
      <w:r>
        <w:rPr>
          <w:rFonts w:hint="eastAsia"/>
          <w:highlight w:val="none"/>
          <w:lang w:eastAsia="zh-CN" w:bidi="ar"/>
        </w:rPr>
        <w:t>、</w:t>
      </w:r>
      <w:r>
        <w:rPr>
          <w:rFonts w:hint="eastAsia"/>
          <w:highlight w:val="none"/>
          <w:lang w:val="en-US" w:eastAsia="zh-CN" w:bidi="ar"/>
        </w:rPr>
        <w:t>市场监管、工信</w:t>
      </w:r>
      <w:r>
        <w:rPr>
          <w:highlight w:val="none"/>
          <w:lang w:bidi="ar"/>
        </w:rPr>
        <w:t>等部门的联动，发挥环保守信联合激励和失信联合惩戒机制，确保</w:t>
      </w:r>
      <w:r>
        <w:rPr>
          <w:rFonts w:hint="eastAsia"/>
          <w:highlight w:val="none"/>
          <w:lang w:bidi="ar"/>
        </w:rPr>
        <w:t>“</w:t>
      </w:r>
      <w:r>
        <w:rPr>
          <w:highlight w:val="none"/>
          <w:lang w:bidi="ar"/>
        </w:rPr>
        <w:t>一处违法、处处受限</w:t>
      </w:r>
      <w:r>
        <w:rPr>
          <w:rFonts w:hint="eastAsia"/>
          <w:highlight w:val="none"/>
          <w:lang w:bidi="ar"/>
        </w:rPr>
        <w:t>”</w:t>
      </w:r>
      <w:r>
        <w:rPr>
          <w:highlight w:val="none"/>
          <w:lang w:bidi="ar"/>
        </w:rPr>
        <w:t>。</w:t>
      </w:r>
      <w:r>
        <w:rPr>
          <w:rFonts w:hint="eastAsia"/>
          <w:highlight w:val="none"/>
          <w:lang w:val="en-US" w:eastAsia="zh-CN" w:bidi="ar"/>
        </w:rPr>
        <w:t>严格</w:t>
      </w:r>
      <w:r>
        <w:rPr>
          <w:highlight w:val="none"/>
          <w:lang w:bidi="ar"/>
        </w:rPr>
        <w:t>落实上市公司和发债企业强制性环境治理信息披露制度。</w:t>
      </w:r>
    </w:p>
    <w:p w14:paraId="6BBA3D5C">
      <w:pPr>
        <w:rPr>
          <w:lang w:bidi="ar"/>
        </w:rPr>
      </w:pPr>
      <w:r>
        <w:rPr>
          <w:rFonts w:hint="default"/>
          <w:lang w:bidi="ar"/>
        </w:rPr>
        <w:t>加强生态环境保护“放管服”。强化对重大基础设施、节能降碳、绿色环保等战略性新兴产业等项目的环评服务，提升管理服务效能。深化对企业的污染防治技术服务。</w:t>
      </w:r>
    </w:p>
    <w:p w14:paraId="65F83D2E">
      <w:pPr>
        <w:pStyle w:val="4"/>
        <w:widowControl/>
        <w:spacing w:before="313" w:beforeLines="100" w:after="313" w:afterLines="100"/>
        <w:ind w:firstLine="0"/>
        <w:jc w:val="center"/>
        <w:outlineLvl w:val="1"/>
        <w:rPr>
          <w:highlight w:val="none"/>
        </w:rPr>
      </w:pPr>
      <w:bookmarkStart w:id="1395" w:name="_Toc6124"/>
      <w:bookmarkStart w:id="1396" w:name="_Toc21909"/>
      <w:bookmarkStart w:id="1397" w:name="_Toc88954919"/>
      <w:bookmarkStart w:id="1398" w:name="_Toc88955462"/>
      <w:bookmarkStart w:id="1399" w:name="_Toc12482"/>
      <w:bookmarkStart w:id="1400" w:name="_Toc20207"/>
      <w:bookmarkStart w:id="1401" w:name="_Toc22965"/>
      <w:bookmarkStart w:id="1402" w:name="_Toc8291"/>
      <w:bookmarkStart w:id="1403" w:name="_Toc15546"/>
      <w:bookmarkStart w:id="1404" w:name="_Toc7491"/>
      <w:bookmarkStart w:id="1405" w:name="_Toc8961"/>
      <w:bookmarkStart w:id="1406" w:name="_Toc23054"/>
      <w:bookmarkStart w:id="1407" w:name="_Toc29207"/>
      <w:bookmarkStart w:id="1408" w:name="_Toc16670"/>
      <w:bookmarkStart w:id="1409" w:name="_Toc18612"/>
      <w:bookmarkStart w:id="1410" w:name="_Toc13431"/>
      <w:bookmarkStart w:id="1411" w:name="_Toc10484"/>
      <w:bookmarkStart w:id="1412" w:name="_Toc4498"/>
      <w:bookmarkStart w:id="1413" w:name="_Toc27600"/>
      <w:bookmarkStart w:id="1414" w:name="_Toc24818"/>
      <w:bookmarkStart w:id="1415" w:name="_Toc27484"/>
      <w:bookmarkStart w:id="1416" w:name="_Toc8453"/>
      <w:bookmarkStart w:id="1417" w:name="_Toc24431"/>
      <w:bookmarkStart w:id="1418" w:name="_Toc9001"/>
      <w:bookmarkStart w:id="1419" w:name="_Toc1768"/>
      <w:bookmarkStart w:id="1420" w:name="_Toc28192"/>
      <w:bookmarkStart w:id="1421" w:name="_Toc11516"/>
      <w:bookmarkStart w:id="1422" w:name="_Toc3796"/>
      <w:bookmarkStart w:id="1423" w:name="_Toc10592"/>
      <w:r>
        <w:rPr>
          <w:rFonts w:hint="eastAsia"/>
          <w:highlight w:val="none"/>
        </w:rPr>
        <w:t>完善生态环境制度建设</w:t>
      </w:r>
      <w:bookmarkEnd w:id="1395"/>
      <w:bookmarkEnd w:id="1396"/>
      <w:bookmarkEnd w:id="1397"/>
      <w:bookmarkEnd w:id="1398"/>
    </w:p>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14:paraId="32DCEB0E">
      <w:pPr>
        <w:ind w:firstLine="640"/>
        <w:rPr>
          <w:sz w:val="31"/>
          <w:szCs w:val="31"/>
          <w:highlight w:val="none"/>
          <w:lang w:bidi="ar"/>
        </w:rPr>
      </w:pPr>
      <w:bookmarkStart w:id="1424" w:name="_Toc11783"/>
      <w:bookmarkStart w:id="1425" w:name="_Toc22719"/>
      <w:bookmarkStart w:id="1426" w:name="_Toc3438"/>
      <w:bookmarkStart w:id="1427" w:name="_Toc29393"/>
      <w:bookmarkStart w:id="1428" w:name="_Toc30447"/>
      <w:bookmarkStart w:id="1429" w:name="_Toc16488"/>
      <w:bookmarkStart w:id="1430" w:name="_Toc11431"/>
      <w:bookmarkStart w:id="1431" w:name="_Toc30626"/>
      <w:bookmarkStart w:id="1432" w:name="_Toc2671"/>
      <w:bookmarkStart w:id="1433" w:name="_Toc31045"/>
      <w:bookmarkStart w:id="1434" w:name="_Toc22741"/>
      <w:bookmarkStart w:id="1435" w:name="_Toc31435"/>
      <w:bookmarkStart w:id="1436" w:name="_Toc13549"/>
      <w:bookmarkStart w:id="1437" w:name="_Toc19421"/>
      <w:bookmarkStart w:id="1438" w:name="_Toc12938"/>
      <w:bookmarkStart w:id="1439" w:name="_Toc8393"/>
      <w:bookmarkStart w:id="1440" w:name="_Toc8977"/>
      <w:bookmarkStart w:id="1441" w:name="_Toc917"/>
      <w:bookmarkStart w:id="1442" w:name="_Toc88954921"/>
      <w:bookmarkStart w:id="1443" w:name="_Toc88955464"/>
      <w:bookmarkStart w:id="1444" w:name="_Toc6214"/>
      <w:bookmarkStart w:id="1445" w:name="_Toc28649"/>
      <w:bookmarkStart w:id="1446" w:name="_Toc675"/>
      <w:bookmarkStart w:id="1447" w:name="_Toc15591"/>
      <w:bookmarkStart w:id="1448" w:name="_Toc27221"/>
      <w:bookmarkStart w:id="1449" w:name="_Toc6664"/>
      <w:bookmarkStart w:id="1450" w:name="_Toc13452"/>
      <w:bookmarkStart w:id="1451" w:name="_Toc32121"/>
      <w:r>
        <w:rPr>
          <w:rFonts w:hint="eastAsia"/>
          <w:highlight w:val="none"/>
          <w:lang w:val="en-US" w:eastAsia="zh-CN" w:bidi="ar"/>
        </w:rPr>
        <w:t>落实</w:t>
      </w:r>
      <w:r>
        <w:rPr>
          <w:rFonts w:hint="eastAsia"/>
          <w:highlight w:val="none"/>
          <w:lang w:bidi="ar"/>
        </w:rPr>
        <w:t>生态环境保护督察</w:t>
      </w:r>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Pr>
          <w:rFonts w:hint="eastAsia"/>
          <w:highlight w:val="none"/>
          <w:lang w:eastAsia="zh-CN" w:bidi="ar"/>
        </w:rPr>
        <w:t>。</w:t>
      </w:r>
      <w:r>
        <w:rPr>
          <w:highlight w:val="none"/>
          <w:lang w:bidi="ar"/>
        </w:rPr>
        <w:t>配合做好中央生态环境保护督察工作，把反馈问题整改作为重大政治任务，健全按月调度、按季通报、宣传报道、信息公开、验收销号等制度。</w:t>
      </w:r>
    </w:p>
    <w:p w14:paraId="0757CCCC">
      <w:pPr>
        <w:ind w:firstLine="640"/>
        <w:rPr>
          <w:rFonts w:ascii="楷体_GB2312" w:hAnsi="楷体_GB2312" w:eastAsia="楷体_GB2312" w:cs="楷体_GB2312"/>
          <w:highlight w:val="none"/>
        </w:rPr>
      </w:pPr>
      <w:bookmarkStart w:id="1452" w:name="_Toc8654"/>
      <w:bookmarkStart w:id="1453" w:name="_Toc26626"/>
      <w:bookmarkStart w:id="1454" w:name="_Toc4530"/>
      <w:bookmarkStart w:id="1455" w:name="_Toc29010"/>
      <w:bookmarkStart w:id="1456" w:name="_Toc30669"/>
      <w:bookmarkStart w:id="1457" w:name="_Toc26908"/>
      <w:bookmarkStart w:id="1458" w:name="_Toc88955465"/>
      <w:bookmarkStart w:id="1459" w:name="_Toc8648"/>
      <w:bookmarkStart w:id="1460" w:name="_Toc30588"/>
      <w:bookmarkStart w:id="1461" w:name="_Toc26026"/>
      <w:bookmarkStart w:id="1462" w:name="_Toc25251"/>
      <w:bookmarkStart w:id="1463" w:name="_Toc88954922"/>
      <w:bookmarkStart w:id="1464" w:name="_Toc26520"/>
      <w:bookmarkStart w:id="1465" w:name="_Toc29670"/>
      <w:bookmarkStart w:id="1466" w:name="_Toc2611"/>
      <w:bookmarkStart w:id="1467" w:name="_Toc1318"/>
      <w:bookmarkStart w:id="1468" w:name="_Toc4578"/>
      <w:bookmarkStart w:id="1469" w:name="_Toc16304"/>
      <w:bookmarkStart w:id="1470" w:name="_Toc6035"/>
      <w:bookmarkStart w:id="1471" w:name="_Toc31217"/>
      <w:bookmarkStart w:id="1472" w:name="_Toc7086"/>
      <w:bookmarkStart w:id="1473" w:name="_Toc24078"/>
      <w:bookmarkStart w:id="1474" w:name="_Toc17223"/>
      <w:bookmarkStart w:id="1475" w:name="_Toc6753"/>
      <w:bookmarkStart w:id="1476" w:name="_Toc4956"/>
      <w:bookmarkStart w:id="1477" w:name="_Toc1631"/>
      <w:bookmarkStart w:id="1478" w:name="_Toc21545"/>
      <w:r>
        <w:rPr>
          <w:rFonts w:hint="eastAsia"/>
          <w:highlight w:val="none"/>
          <w:lang w:val="en-US" w:eastAsia="zh-CN" w:bidi="ar"/>
        </w:rPr>
        <w:t>全面贯彻</w:t>
      </w:r>
      <w:r>
        <w:rPr>
          <w:rFonts w:hint="eastAsia"/>
          <w:highlight w:val="none"/>
          <w:lang w:bidi="ar"/>
        </w:rPr>
        <w:t>排污许可管理制度</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r>
        <w:rPr>
          <w:rFonts w:hint="eastAsia"/>
          <w:highlight w:val="none"/>
          <w:lang w:eastAsia="zh-CN" w:bidi="ar"/>
        </w:rPr>
        <w:t>。贯彻落实排污许可管理条例和相关政策要求，强化排污许可管理，全面实现固定污染源排污许可全覆盖，加快建立以排污许可为核心的固定污染源环境管理制度体系，进一步强化排污许可的“一证式”管理。加强企业排污行为监督检查，打击和遏制无证排污、不按证排污等违法行为，切实提高排污许可证技术文件质量，提升排污许可业务监管能力，推进审查审批与行政执法衔接，推动监管、监测、执法有效联动、闭环管理，提高执法效能和依法行政水平，增强监管合力，营造自觉守法、违法必究的良好氛围。加强排污许可与环评管理工作协调联动，确保环评源头预防和排污许可核心制度效力的发挥。</w:t>
      </w:r>
    </w:p>
    <w:p w14:paraId="79BF0342">
      <w:pPr>
        <w:ind w:firstLine="640"/>
        <w:rPr>
          <w:rFonts w:ascii="楷体_GB2312" w:hAnsi="楷体_GB2312" w:eastAsia="楷体_GB2312" w:cs="楷体_GB2312"/>
          <w:highlight w:val="none"/>
        </w:rPr>
      </w:pPr>
      <w:bookmarkStart w:id="1479" w:name="_Toc88955467"/>
      <w:bookmarkStart w:id="1480" w:name="_Toc30716"/>
      <w:bookmarkStart w:id="1481" w:name="_Toc16403"/>
      <w:bookmarkStart w:id="1482" w:name="_Toc2927"/>
      <w:bookmarkStart w:id="1483" w:name="_Toc24631"/>
      <w:bookmarkStart w:id="1484" w:name="_Toc3994"/>
      <w:bookmarkStart w:id="1485" w:name="_Toc8404"/>
      <w:bookmarkStart w:id="1486" w:name="_Toc11389"/>
      <w:bookmarkStart w:id="1487" w:name="_Toc21258"/>
      <w:bookmarkStart w:id="1488" w:name="_Toc32351"/>
      <w:bookmarkStart w:id="1489" w:name="_Toc30243"/>
      <w:bookmarkStart w:id="1490" w:name="_Toc7152"/>
      <w:bookmarkStart w:id="1491" w:name="_Toc6304"/>
      <w:bookmarkStart w:id="1492" w:name="_Toc27724"/>
      <w:bookmarkStart w:id="1493" w:name="_Toc12620"/>
      <w:bookmarkStart w:id="1494" w:name="_Toc31844"/>
      <w:bookmarkStart w:id="1495" w:name="_Toc18814"/>
      <w:bookmarkStart w:id="1496" w:name="_Toc30549"/>
      <w:bookmarkStart w:id="1497" w:name="_Toc22070"/>
      <w:bookmarkStart w:id="1498" w:name="_Toc27554"/>
      <w:bookmarkStart w:id="1499" w:name="_Toc17204"/>
      <w:bookmarkStart w:id="1500" w:name="_Toc24789"/>
      <w:bookmarkStart w:id="1501" w:name="_Toc20087"/>
      <w:bookmarkStart w:id="1502" w:name="_Toc88954924"/>
      <w:bookmarkStart w:id="1503" w:name="_Toc24772"/>
      <w:bookmarkStart w:id="1504" w:name="_Toc29574"/>
      <w:bookmarkStart w:id="1505" w:name="_Toc2425"/>
      <w:r>
        <w:rPr>
          <w:highlight w:val="none"/>
          <w:lang w:bidi="ar"/>
        </w:rPr>
        <w:t>健全生态保护补偿机制</w:t>
      </w:r>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r>
        <w:rPr>
          <w:rFonts w:hint="eastAsia"/>
          <w:highlight w:val="none"/>
          <w:lang w:eastAsia="zh-CN" w:bidi="ar"/>
        </w:rPr>
        <w:t>。</w:t>
      </w:r>
      <w:r>
        <w:rPr>
          <w:highlight w:val="none"/>
          <w:lang w:bidi="ar"/>
        </w:rPr>
        <w:t>积极向国家</w:t>
      </w:r>
      <w:r>
        <w:rPr>
          <w:rFonts w:hint="eastAsia"/>
          <w:highlight w:val="none"/>
          <w:lang w:eastAsia="zh-CN" w:bidi="ar"/>
        </w:rPr>
        <w:t>、</w:t>
      </w:r>
      <w:r>
        <w:rPr>
          <w:rFonts w:hint="eastAsia"/>
          <w:highlight w:val="none"/>
          <w:lang w:val="en-US" w:eastAsia="zh-CN" w:bidi="ar"/>
        </w:rPr>
        <w:t>自治区</w:t>
      </w:r>
      <w:r>
        <w:rPr>
          <w:highlight w:val="none"/>
          <w:lang w:bidi="ar"/>
        </w:rPr>
        <w:t>争取生态补偿、转移支付、温室气体减排等的资金支持。</w:t>
      </w:r>
      <w:r>
        <w:rPr>
          <w:rFonts w:hint="eastAsia" w:hAnsi="黑体" w:cs="Times New Roman"/>
          <w:bCs/>
          <w:highlight w:val="none"/>
        </w:rPr>
        <w:t>积极</w:t>
      </w:r>
      <w:r>
        <w:rPr>
          <w:highlight w:val="none"/>
          <w:lang w:bidi="ar"/>
        </w:rPr>
        <w:t>创建绿色金融改革创新试点。建立政府与社会资本合作的生态补偿模式</w:t>
      </w:r>
      <w:r>
        <w:rPr>
          <w:rFonts w:hint="eastAsia"/>
          <w:highlight w:val="none"/>
          <w:lang w:eastAsia="zh-CN" w:bidi="ar"/>
        </w:rPr>
        <w:t>，</w:t>
      </w:r>
      <w:r>
        <w:rPr>
          <w:rFonts w:hint="eastAsia"/>
          <w:highlight w:val="none"/>
          <w:lang w:val="en-US" w:eastAsia="zh-CN" w:bidi="ar"/>
        </w:rPr>
        <w:t>探索建立覆盖重点领域和重点区域的生态补偿机制</w:t>
      </w:r>
      <w:r>
        <w:rPr>
          <w:highlight w:val="none"/>
          <w:lang w:bidi="ar"/>
        </w:rPr>
        <w:t>。</w:t>
      </w:r>
    </w:p>
    <w:p w14:paraId="48D463B8">
      <w:pPr>
        <w:ind w:firstLine="640"/>
        <w:rPr>
          <w:rFonts w:ascii="楷体_GB2312" w:hAnsi="楷体_GB2312" w:eastAsia="楷体_GB2312" w:cs="楷体_GB2312"/>
          <w:highlight w:val="none"/>
        </w:rPr>
      </w:pPr>
      <w:bookmarkStart w:id="1506" w:name="_Toc28454"/>
      <w:bookmarkStart w:id="1507" w:name="_Toc32370"/>
      <w:bookmarkStart w:id="1508" w:name="_Toc17716"/>
      <w:bookmarkStart w:id="1509" w:name="_Toc13108"/>
      <w:bookmarkStart w:id="1510" w:name="_Toc25935"/>
      <w:bookmarkStart w:id="1511" w:name="_Toc4161"/>
      <w:bookmarkStart w:id="1512" w:name="_Toc17666"/>
      <w:bookmarkStart w:id="1513" w:name="_Toc8319"/>
      <w:bookmarkStart w:id="1514" w:name="_Toc26015"/>
      <w:bookmarkStart w:id="1515" w:name="_Toc13992"/>
      <w:bookmarkStart w:id="1516" w:name="_Toc19970"/>
      <w:bookmarkStart w:id="1517" w:name="_Toc19804"/>
      <w:bookmarkStart w:id="1518" w:name="_Toc16496"/>
      <w:bookmarkStart w:id="1519" w:name="_Toc26232"/>
      <w:bookmarkStart w:id="1520" w:name="_Toc14715"/>
      <w:bookmarkStart w:id="1521" w:name="_Toc29125"/>
      <w:bookmarkStart w:id="1522" w:name="_Toc14291"/>
      <w:bookmarkStart w:id="1523" w:name="_Toc30938"/>
      <w:bookmarkStart w:id="1524" w:name="_Toc3704"/>
      <w:bookmarkStart w:id="1525" w:name="_Toc25040"/>
      <w:bookmarkStart w:id="1526" w:name="_Toc27033"/>
      <w:bookmarkStart w:id="1527" w:name="_Toc22385"/>
      <w:bookmarkStart w:id="1528" w:name="_Toc16691"/>
      <w:bookmarkStart w:id="1529" w:name="_Toc13247"/>
      <w:bookmarkStart w:id="1530" w:name="_Toc88954925"/>
      <w:bookmarkStart w:id="1531" w:name="_Toc16458"/>
      <w:bookmarkStart w:id="1532" w:name="_Toc88955468"/>
      <w:bookmarkStart w:id="1533" w:name="_Toc3501"/>
      <w:r>
        <w:rPr>
          <w:rFonts w:hint="eastAsia"/>
          <w:highlight w:val="none"/>
          <w:lang w:bidi="ar"/>
        </w:rPr>
        <w:t>落实生态环境损害赔偿制</w:t>
      </w:r>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r>
        <w:rPr>
          <w:rFonts w:hint="eastAsia"/>
          <w:highlight w:val="none"/>
          <w:lang w:bidi="ar"/>
        </w:rPr>
        <w:t>度</w:t>
      </w:r>
      <w:bookmarkEnd w:id="1530"/>
      <w:bookmarkEnd w:id="1531"/>
      <w:bookmarkEnd w:id="1532"/>
      <w:bookmarkEnd w:id="1533"/>
      <w:r>
        <w:rPr>
          <w:rFonts w:hint="eastAsia"/>
          <w:highlight w:val="none"/>
          <w:lang w:eastAsia="zh-CN" w:bidi="ar"/>
        </w:rPr>
        <w:t>。</w:t>
      </w:r>
      <w:r>
        <w:rPr>
          <w:rFonts w:hint="eastAsia"/>
          <w:highlight w:val="none"/>
          <w:lang w:bidi="ar"/>
        </w:rPr>
        <w:t>落实生态环境损害赔偿制度，加强案例线索筛查、重大案件追踪办理和修复效果评估。推进行政处罚与生态环境损害赔偿有效衔接，进一步解决生态环境损害只罚不赔、违法成本低的问题。加强生态环境损害赔偿制度与检察公益诉讼衔接，</w:t>
      </w:r>
      <w:r>
        <w:rPr>
          <w:rFonts w:hint="eastAsia"/>
          <w:highlight w:val="none"/>
          <w:lang w:val="en-US" w:eastAsia="zh-CN" w:bidi="ar"/>
        </w:rPr>
        <w:t>建立线索双移送机制，强化与检察机关的协作配合与相互支持，形成生态环境保护合力。探索生态环境损害惩罚性赔偿机制，</w:t>
      </w:r>
      <w:r>
        <w:rPr>
          <w:rFonts w:hint="eastAsia"/>
          <w:highlight w:val="none"/>
          <w:lang w:bidi="ar"/>
        </w:rPr>
        <w:t>倒逼企业严格</w:t>
      </w:r>
      <w:r>
        <w:rPr>
          <w:rFonts w:hint="eastAsia"/>
          <w:highlight w:val="none"/>
          <w:lang w:val="en-US" w:eastAsia="zh-CN" w:bidi="ar"/>
        </w:rPr>
        <w:t>履行环境保护责任</w:t>
      </w:r>
      <w:r>
        <w:rPr>
          <w:rFonts w:hint="eastAsia"/>
          <w:highlight w:val="none"/>
          <w:lang w:bidi="ar"/>
        </w:rPr>
        <w:t>。</w:t>
      </w:r>
    </w:p>
    <w:p w14:paraId="430ED265">
      <w:pPr>
        <w:ind w:firstLine="640"/>
        <w:rPr>
          <w:rFonts w:ascii="楷体_GB2312" w:hAnsi="楷体_GB2312" w:eastAsia="楷体_GB2312" w:cs="楷体_GB2312"/>
          <w:highlight w:val="none"/>
        </w:rPr>
      </w:pPr>
      <w:bookmarkStart w:id="1534" w:name="_Toc8685"/>
      <w:bookmarkStart w:id="1535" w:name="_Toc29746"/>
      <w:bookmarkStart w:id="1536" w:name="_Toc29668"/>
      <w:bookmarkStart w:id="1537" w:name="_Toc23388"/>
      <w:bookmarkStart w:id="1538" w:name="_Toc88955469"/>
      <w:bookmarkStart w:id="1539" w:name="_Toc21445"/>
      <w:bookmarkStart w:id="1540" w:name="_Toc20221"/>
      <w:bookmarkStart w:id="1541" w:name="_Toc88954926"/>
      <w:bookmarkStart w:id="1542" w:name="_Toc542"/>
      <w:bookmarkStart w:id="1543" w:name="_Toc1675"/>
      <w:bookmarkStart w:id="1544" w:name="_Toc11491"/>
      <w:bookmarkStart w:id="1545" w:name="_Toc26899"/>
      <w:bookmarkStart w:id="1546" w:name="_Toc21955"/>
      <w:bookmarkStart w:id="1547" w:name="_Toc30117"/>
      <w:bookmarkStart w:id="1548" w:name="_Toc3948"/>
      <w:bookmarkStart w:id="1549" w:name="_Toc14245"/>
      <w:bookmarkStart w:id="1550" w:name="_Toc2770"/>
      <w:bookmarkStart w:id="1551" w:name="_Toc27610"/>
      <w:bookmarkStart w:id="1552" w:name="_Toc15668"/>
      <w:bookmarkStart w:id="1553" w:name="_Toc16972"/>
      <w:bookmarkStart w:id="1554" w:name="_Toc8251"/>
      <w:bookmarkStart w:id="1555" w:name="_Toc9403"/>
      <w:bookmarkStart w:id="1556" w:name="_Toc28474"/>
      <w:bookmarkStart w:id="1557" w:name="_Toc4798"/>
      <w:bookmarkStart w:id="1558" w:name="_Toc2269"/>
      <w:bookmarkStart w:id="1559" w:name="_Toc18804"/>
      <w:bookmarkStart w:id="1560" w:name="_Toc31868"/>
      <w:bookmarkStart w:id="1561" w:name="_Toc13884"/>
      <w:r>
        <w:rPr>
          <w:rFonts w:hint="eastAsia"/>
          <w:highlight w:val="none"/>
          <w:lang w:bidi="ar"/>
        </w:rPr>
        <w:t>推动环境污染责任保险制度</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r>
        <w:rPr>
          <w:rFonts w:hint="eastAsia"/>
          <w:highlight w:val="none"/>
          <w:lang w:eastAsia="zh-CN" w:bidi="ar"/>
        </w:rPr>
        <w:t>。</w:t>
      </w:r>
      <w:r>
        <w:rPr>
          <w:rFonts w:hint="eastAsia"/>
          <w:highlight w:val="none"/>
          <w:lang w:bidi="ar"/>
        </w:rPr>
        <w:t>积极推进辖区内各保险主体公司对接环境污染责任保险试点工作，加大宣传力度，做好</w:t>
      </w:r>
      <w:r>
        <w:rPr>
          <w:rFonts w:hint="eastAsia" w:hAnsi="黑体" w:cs="Times New Roman"/>
          <w:bCs/>
          <w:highlight w:val="none"/>
        </w:rPr>
        <w:t>保险</w:t>
      </w:r>
      <w:r>
        <w:rPr>
          <w:rFonts w:hint="eastAsia"/>
          <w:highlight w:val="none"/>
          <w:lang w:bidi="ar"/>
        </w:rPr>
        <w:t>服务与风险防控，形成化解企业环境风险的保障机制。在高环境风险领域等重点区域积极推行环境污染强制责任保险制度，分担企业经营风险，提升企业环境保护意识和环境风险管理水平。</w:t>
      </w:r>
    </w:p>
    <w:p w14:paraId="149AB132">
      <w:pPr>
        <w:pStyle w:val="4"/>
        <w:keepNext w:val="0"/>
        <w:keepLines w:val="0"/>
        <w:pageBreakBefore w:val="0"/>
        <w:widowControl w:val="0"/>
        <w:kinsoku/>
        <w:wordWrap/>
        <w:overflowPunct/>
        <w:topLinePunct w:val="0"/>
        <w:autoSpaceDE/>
        <w:autoSpaceDN/>
        <w:bidi w:val="0"/>
        <w:adjustRightInd/>
        <w:snapToGrid/>
        <w:spacing w:before="0" w:after="0"/>
        <w:ind w:firstLine="0"/>
        <w:textAlignment w:val="auto"/>
        <w:rPr>
          <w:highlight w:val="none"/>
        </w:rPr>
      </w:pPr>
      <w:bookmarkStart w:id="1562" w:name="_Toc32375"/>
      <w:bookmarkStart w:id="1563" w:name="_Toc9619"/>
      <w:bookmarkStart w:id="1564" w:name="_Toc88954932"/>
      <w:bookmarkStart w:id="1565" w:name="_Toc88955475"/>
      <w:bookmarkStart w:id="1566" w:name="_Toc9772"/>
      <w:bookmarkStart w:id="1567" w:name="_Toc10658"/>
      <w:bookmarkStart w:id="1568" w:name="_Toc15096"/>
      <w:bookmarkStart w:id="1569" w:name="_Toc26929"/>
      <w:bookmarkStart w:id="1570" w:name="_Toc25765"/>
      <w:bookmarkStart w:id="1571" w:name="_Toc12841"/>
      <w:bookmarkStart w:id="1572" w:name="_Toc8031"/>
      <w:bookmarkStart w:id="1573" w:name="_Toc29228"/>
      <w:bookmarkStart w:id="1574" w:name="_Toc22225"/>
      <w:bookmarkStart w:id="1575" w:name="_Toc28874"/>
      <w:bookmarkStart w:id="1576" w:name="_Toc7409"/>
      <w:bookmarkStart w:id="1577" w:name="_Toc13338"/>
      <w:bookmarkStart w:id="1578" w:name="_Toc21442"/>
      <w:bookmarkStart w:id="1579" w:name="_Toc4012"/>
      <w:bookmarkStart w:id="1580" w:name="_Toc27907"/>
      <w:bookmarkStart w:id="1581" w:name="_Toc32724"/>
      <w:bookmarkStart w:id="1582" w:name="_Toc5689"/>
      <w:bookmarkStart w:id="1583" w:name="_Toc5566"/>
      <w:bookmarkStart w:id="1584" w:name="_Toc21094"/>
      <w:bookmarkStart w:id="1585" w:name="_Toc24427"/>
      <w:bookmarkStart w:id="1586" w:name="_Toc18718"/>
      <w:bookmarkStart w:id="1587" w:name="_Toc11370"/>
      <w:bookmarkStart w:id="1588" w:name="_Toc20834"/>
      <w:bookmarkStart w:id="1589" w:name="_Toc27825"/>
      <w:bookmarkStart w:id="1590" w:name="_Toc10079"/>
      <w:r>
        <w:rPr>
          <w:rFonts w:hint="eastAsia"/>
          <w:highlight w:val="none"/>
        </w:rPr>
        <w:t>完善生态环境执法体系建设</w:t>
      </w:r>
      <w:bookmarkEnd w:id="1562"/>
      <w:bookmarkEnd w:id="1563"/>
      <w:bookmarkEnd w:id="1564"/>
      <w:bookmarkEnd w:id="1565"/>
    </w:p>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p w14:paraId="1E00BB98">
      <w:pPr>
        <w:spacing w:before="0" w:beforeLines="-2147483648" w:after="0" w:afterLines="-2147483648"/>
        <w:ind w:firstLine="640"/>
        <w:rPr>
          <w:highlight w:val="none"/>
        </w:rPr>
      </w:pPr>
      <w:bookmarkStart w:id="1591" w:name="_Toc14145"/>
      <w:bookmarkStart w:id="1592" w:name="_Toc17143"/>
      <w:bookmarkStart w:id="1593" w:name="_Toc24715"/>
      <w:bookmarkStart w:id="1594" w:name="_Toc3169"/>
      <w:bookmarkStart w:id="1595" w:name="_Toc319"/>
      <w:bookmarkStart w:id="1596" w:name="_Toc14165"/>
      <w:bookmarkStart w:id="1597" w:name="_Toc26382"/>
      <w:bookmarkStart w:id="1598" w:name="_Toc2878"/>
      <w:bookmarkStart w:id="1599" w:name="_Toc4950"/>
      <w:bookmarkStart w:id="1600" w:name="_Toc26718"/>
      <w:bookmarkStart w:id="1601" w:name="_Toc21608"/>
      <w:bookmarkStart w:id="1602" w:name="_Toc13068"/>
      <w:bookmarkStart w:id="1603" w:name="_Toc23653"/>
      <w:bookmarkStart w:id="1604" w:name="_Toc25011"/>
      <w:bookmarkStart w:id="1605" w:name="_Toc11418"/>
      <w:bookmarkStart w:id="1606" w:name="_Toc19684"/>
      <w:bookmarkStart w:id="1607" w:name="_Toc1260"/>
      <w:bookmarkStart w:id="1608" w:name="_Toc88955477"/>
      <w:bookmarkStart w:id="1609" w:name="_Toc14771"/>
      <w:bookmarkStart w:id="1610" w:name="_Toc6034"/>
      <w:bookmarkStart w:id="1611" w:name="_Toc4687"/>
      <w:bookmarkStart w:id="1612" w:name="_Toc29582"/>
      <w:bookmarkStart w:id="1613" w:name="_Toc88954934"/>
      <w:bookmarkStart w:id="1614" w:name="_Toc19656"/>
      <w:bookmarkStart w:id="1615" w:name="_Toc7326"/>
      <w:bookmarkStart w:id="1616" w:name="_Toc12249"/>
      <w:bookmarkStart w:id="1617" w:name="_Toc22412"/>
      <w:r>
        <w:rPr>
          <w:rFonts w:hint="eastAsia"/>
          <w:highlight w:val="none"/>
        </w:rPr>
        <w:t>完善生态环境执法制度</w:t>
      </w:r>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r>
        <w:rPr>
          <w:rFonts w:hint="eastAsia"/>
          <w:highlight w:val="none"/>
          <w:lang w:eastAsia="zh-CN"/>
        </w:rPr>
        <w:t>。</w:t>
      </w:r>
      <w:r>
        <w:rPr>
          <w:highlight w:val="none"/>
        </w:rPr>
        <w:t>完成生态环境综合行政执法体制改革，健全生态环境部门与自然资源</w:t>
      </w:r>
      <w:r>
        <w:rPr>
          <w:rFonts w:hint="eastAsia"/>
          <w:highlight w:val="none"/>
        </w:rPr>
        <w:t>与林草</w:t>
      </w:r>
      <w:r>
        <w:rPr>
          <w:highlight w:val="none"/>
        </w:rPr>
        <w:t>、水利</w:t>
      </w:r>
      <w:r>
        <w:rPr>
          <w:rFonts w:hint="eastAsia"/>
          <w:highlight w:val="none"/>
        </w:rPr>
        <w:t>农牧</w:t>
      </w:r>
      <w:r>
        <w:rPr>
          <w:highlight w:val="none"/>
        </w:rPr>
        <w:t>等部门间联合执法衔接机制，划分各部门责任边界，建立区域交叉执法核查制度，破解多头多层重复执法、执法不规范和执法不透明等问题，定期组织开展监督帮扶。健全执法责任制，</w:t>
      </w:r>
      <w:r>
        <w:rPr>
          <w:rFonts w:hint="eastAsia"/>
          <w:highlight w:val="none"/>
          <w:lang w:val="en-US" w:eastAsia="zh-CN"/>
        </w:rPr>
        <w:t>优化执法方法，提高执法效能，</w:t>
      </w:r>
      <w:r>
        <w:rPr>
          <w:highlight w:val="none"/>
        </w:rPr>
        <w:t>坚决纠正不作为、乱作为问题，依法保障各类主体的环境权益，严禁</w:t>
      </w:r>
      <w:r>
        <w:rPr>
          <w:rFonts w:hint="eastAsia"/>
          <w:highlight w:val="none"/>
        </w:rPr>
        <w:t>“</w:t>
      </w:r>
      <w:r>
        <w:rPr>
          <w:highlight w:val="none"/>
        </w:rPr>
        <w:t>一刀切</w:t>
      </w:r>
      <w:r>
        <w:rPr>
          <w:rFonts w:hint="eastAsia"/>
          <w:highlight w:val="none"/>
        </w:rPr>
        <w:t>”</w:t>
      </w:r>
      <w:r>
        <w:rPr>
          <w:highlight w:val="none"/>
        </w:rPr>
        <w:t>。实行</w:t>
      </w:r>
      <w:r>
        <w:rPr>
          <w:rFonts w:hint="eastAsia"/>
          <w:highlight w:val="none"/>
        </w:rPr>
        <w:t>“</w:t>
      </w:r>
      <w:r>
        <w:rPr>
          <w:highlight w:val="none"/>
        </w:rPr>
        <w:t>双随机、一公开</w:t>
      </w:r>
      <w:r>
        <w:rPr>
          <w:rFonts w:hint="eastAsia"/>
          <w:highlight w:val="none"/>
        </w:rPr>
        <w:t>”</w:t>
      </w:r>
      <w:r>
        <w:rPr>
          <w:highlight w:val="none"/>
        </w:rPr>
        <w:t>常态化监管，注重</w:t>
      </w:r>
      <w:r>
        <w:rPr>
          <w:rFonts w:hint="eastAsia"/>
          <w:highlight w:val="none"/>
        </w:rPr>
        <w:t>“</w:t>
      </w:r>
      <w:r>
        <w:rPr>
          <w:highlight w:val="none"/>
        </w:rPr>
        <w:t>柔性执法</w:t>
      </w:r>
      <w:r>
        <w:rPr>
          <w:rFonts w:hint="eastAsia"/>
          <w:highlight w:val="none"/>
        </w:rPr>
        <w:t>”</w:t>
      </w:r>
      <w:r>
        <w:rPr>
          <w:highlight w:val="none"/>
        </w:rPr>
        <w:t>，</w:t>
      </w:r>
      <w:r>
        <w:rPr>
          <w:rFonts w:hint="eastAsia"/>
          <w:highlight w:val="none"/>
          <w:lang w:val="en-US" w:eastAsia="zh-CN"/>
        </w:rPr>
        <w:t>认真落实生态环境监督执法正面清单管理制度及优化营商环境政策措施。</w:t>
      </w:r>
      <w:r>
        <w:rPr>
          <w:highlight w:val="none"/>
        </w:rPr>
        <w:t>全面推进行政执法公示制度、执法全过程记录制度、重大执法决定法制审核制度</w:t>
      </w:r>
      <w:r>
        <w:rPr>
          <w:rFonts w:hint="eastAsia"/>
          <w:highlight w:val="none"/>
          <w:lang w:eastAsia="zh-CN"/>
        </w:rPr>
        <w:t>，</w:t>
      </w:r>
      <w:r>
        <w:rPr>
          <w:rFonts w:hint="eastAsia"/>
          <w:highlight w:val="none"/>
          <w:lang w:val="en-US" w:eastAsia="zh-CN"/>
        </w:rPr>
        <w:t>规范适用环境行政处罚自由裁量权</w:t>
      </w:r>
      <w:r>
        <w:rPr>
          <w:highlight w:val="none"/>
        </w:rPr>
        <w:t>。</w:t>
      </w:r>
      <w:r>
        <w:rPr>
          <w:rFonts w:hint="eastAsia"/>
          <w:highlight w:val="none"/>
        </w:rPr>
        <w:t>认真落实《内蒙古自治区生态环境系统综合行政执法机构及其执法人员履职尽责容错纠错实施办法（试行</w:t>
      </w:r>
      <w:r>
        <w:rPr>
          <w:rFonts w:hint="eastAsia"/>
          <w:highlight w:val="none"/>
          <w:lang w:eastAsia="zh-CN"/>
        </w:rPr>
        <w:t>）</w:t>
      </w:r>
      <w:r>
        <w:rPr>
          <w:rFonts w:hint="eastAsia"/>
          <w:highlight w:val="none"/>
        </w:rPr>
        <w:t>》，做到职责法定、尽职免责、失职追责、减少失误、有错必纠、公平公正。</w:t>
      </w:r>
      <w:r>
        <w:rPr>
          <w:highlight w:val="none"/>
        </w:rPr>
        <w:t>继续加强行政执法与刑事司法部门联动机制，保持环境执法高压态势。落实</w:t>
      </w:r>
      <w:r>
        <w:rPr>
          <w:rFonts w:hint="eastAsia"/>
          <w:highlight w:val="none"/>
        </w:rPr>
        <w:t>“</w:t>
      </w:r>
      <w:r>
        <w:rPr>
          <w:highlight w:val="none"/>
        </w:rPr>
        <w:t>谁执法、谁普法</w:t>
      </w:r>
      <w:r>
        <w:rPr>
          <w:rFonts w:hint="eastAsia"/>
          <w:highlight w:val="none"/>
        </w:rPr>
        <w:t>”</w:t>
      </w:r>
      <w:r>
        <w:rPr>
          <w:highlight w:val="none"/>
        </w:rPr>
        <w:t>的要求，</w:t>
      </w:r>
      <w:r>
        <w:rPr>
          <w:rFonts w:hint="eastAsia"/>
          <w:highlight w:val="none"/>
          <w:lang w:val="en-US" w:eastAsia="zh-CN"/>
        </w:rPr>
        <w:t>定期组织开展监督帮扶，“送法入企”，</w:t>
      </w:r>
      <w:r>
        <w:rPr>
          <w:highlight w:val="none"/>
        </w:rPr>
        <w:t>做到</w:t>
      </w:r>
      <w:r>
        <w:rPr>
          <w:rFonts w:hint="eastAsia"/>
          <w:highlight w:val="none"/>
        </w:rPr>
        <w:t>“</w:t>
      </w:r>
      <w:r>
        <w:rPr>
          <w:highlight w:val="none"/>
        </w:rPr>
        <w:t>精准把脉、辨证施治</w:t>
      </w:r>
      <w:r>
        <w:rPr>
          <w:rFonts w:hint="eastAsia"/>
          <w:highlight w:val="none"/>
        </w:rPr>
        <w:t>”</w:t>
      </w:r>
      <w:r>
        <w:rPr>
          <w:highlight w:val="none"/>
        </w:rPr>
        <w:t>。</w:t>
      </w:r>
    </w:p>
    <w:p w14:paraId="472B3418">
      <w:pPr>
        <w:spacing w:before="0" w:beforeLines="-2147483648" w:after="0" w:afterLines="-2147483648"/>
        <w:ind w:firstLine="640"/>
        <w:rPr>
          <w:highlight w:val="none"/>
        </w:rPr>
      </w:pPr>
      <w:bookmarkStart w:id="1618" w:name="_Toc88954935"/>
      <w:bookmarkStart w:id="1619" w:name="_Toc1754"/>
      <w:bookmarkStart w:id="1620" w:name="_Toc28795"/>
      <w:bookmarkStart w:id="1621" w:name="_Toc22894"/>
      <w:bookmarkStart w:id="1622" w:name="_Toc832"/>
      <w:bookmarkStart w:id="1623" w:name="_Toc18680"/>
      <w:bookmarkStart w:id="1624" w:name="_Toc26788"/>
      <w:bookmarkStart w:id="1625" w:name="_Toc16648"/>
      <w:bookmarkStart w:id="1626" w:name="_Toc23567"/>
      <w:bookmarkStart w:id="1627" w:name="_Toc6365"/>
      <w:bookmarkStart w:id="1628" w:name="_Toc14940"/>
      <w:bookmarkStart w:id="1629" w:name="_Toc21797"/>
      <w:bookmarkStart w:id="1630" w:name="_Toc14490"/>
      <w:bookmarkStart w:id="1631" w:name="_Toc31020"/>
      <w:bookmarkStart w:id="1632" w:name="_Toc29361"/>
      <w:bookmarkStart w:id="1633" w:name="_Toc11187"/>
      <w:bookmarkStart w:id="1634" w:name="_Toc14598"/>
      <w:bookmarkStart w:id="1635" w:name="_Toc88955478"/>
      <w:bookmarkStart w:id="1636" w:name="_Toc23329"/>
      <w:bookmarkStart w:id="1637" w:name="_Toc28749"/>
      <w:bookmarkStart w:id="1638" w:name="_Toc16581"/>
      <w:bookmarkStart w:id="1639" w:name="_Toc5493"/>
      <w:bookmarkStart w:id="1640" w:name="_Toc18174"/>
      <w:bookmarkStart w:id="1641" w:name="_Toc12696"/>
      <w:bookmarkStart w:id="1642" w:name="_Toc24673"/>
      <w:bookmarkStart w:id="1643" w:name="_Toc29914"/>
      <w:bookmarkStart w:id="1644" w:name="_Toc24503"/>
      <w:r>
        <w:rPr>
          <w:rFonts w:hint="default"/>
          <w:highlight w:val="none"/>
        </w:rPr>
        <w:t>创新生态环境执法模式</w:t>
      </w:r>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r>
        <w:rPr>
          <w:rFonts w:hint="eastAsia"/>
          <w:highlight w:val="none"/>
          <w:lang w:eastAsia="zh-CN"/>
        </w:rPr>
        <w:t>。</w:t>
      </w:r>
      <w:r>
        <w:rPr>
          <w:highlight w:val="none"/>
        </w:rPr>
        <w:t>加大生态环境执法力度，补齐应对气候变化、生态监管等领域执法能力短板。推广</w:t>
      </w:r>
      <w:r>
        <w:rPr>
          <w:rFonts w:hint="eastAsia"/>
          <w:highlight w:val="none"/>
        </w:rPr>
        <w:t>“</w:t>
      </w:r>
      <w:r>
        <w:rPr>
          <w:rFonts w:hint="eastAsia" w:hAnsi="黑体" w:cs="Times New Roman"/>
          <w:bCs/>
          <w:highlight w:val="none"/>
        </w:rPr>
        <w:t>互联网</w:t>
      </w:r>
      <w:r>
        <w:rPr>
          <w:highlight w:val="none"/>
        </w:rPr>
        <w:t>+统一指挥+综合执法</w:t>
      </w:r>
      <w:r>
        <w:rPr>
          <w:rFonts w:hint="eastAsia"/>
          <w:highlight w:val="none"/>
        </w:rPr>
        <w:t>”</w:t>
      </w:r>
      <w:r>
        <w:rPr>
          <w:highlight w:val="none"/>
        </w:rPr>
        <w:t>非现场监管模式，大力拓展非现场监管的手段及应用，以自动监控为主，推行视频监控和环保设施用水、用电监控等物联网监管手段，积极利用无人机、卫星遥感等科技手段，推进大数据采集分析、违法风险</w:t>
      </w:r>
      <w:r>
        <w:rPr>
          <w:rFonts w:hint="eastAsia" w:hAnsi="黑体" w:cs="Times New Roman"/>
          <w:bCs/>
          <w:highlight w:val="none"/>
        </w:rPr>
        <w:t>监测</w:t>
      </w:r>
      <w:r>
        <w:rPr>
          <w:highlight w:val="none"/>
        </w:rPr>
        <w:t>预警等在环境执法中应用。强化综合行政执法职能，加强监管执法能力、执法队伍建设，配备统一服装、调查取证、移动执法、数据分析、执法用车等装备。</w:t>
      </w:r>
    </w:p>
    <w:p w14:paraId="203B4725">
      <w:pPr>
        <w:ind w:firstLine="640"/>
        <w:rPr>
          <w:highlight w:val="none"/>
        </w:rPr>
        <w:sectPr>
          <w:pgSz w:w="11906" w:h="16838"/>
          <w:pgMar w:top="1440" w:right="1800" w:bottom="1440" w:left="1800" w:header="851" w:footer="992" w:gutter="0"/>
          <w:pgNumType w:fmt="numberInDash"/>
          <w:cols w:space="425" w:num="1"/>
          <w:docGrid w:type="lines" w:linePitch="312" w:charSpace="0"/>
        </w:sectPr>
      </w:pPr>
      <w:bookmarkStart w:id="1645" w:name="_Toc1862"/>
      <w:bookmarkStart w:id="1646" w:name="_Toc26962"/>
      <w:bookmarkStart w:id="1647" w:name="_Toc21519"/>
      <w:bookmarkStart w:id="1648" w:name="_Toc2160"/>
      <w:bookmarkStart w:id="1649" w:name="_Toc5874"/>
      <w:bookmarkStart w:id="1650" w:name="_Toc30816"/>
      <w:bookmarkStart w:id="1651" w:name="_Toc7538"/>
      <w:bookmarkStart w:id="1652" w:name="_Toc19067"/>
      <w:bookmarkStart w:id="1653" w:name="_Toc25887"/>
      <w:bookmarkStart w:id="1654" w:name="_Toc8464"/>
      <w:bookmarkStart w:id="1655" w:name="_Toc19312"/>
      <w:bookmarkStart w:id="1656" w:name="_Toc5405"/>
      <w:bookmarkStart w:id="1657" w:name="_Toc3329"/>
      <w:bookmarkStart w:id="1658" w:name="_Toc3876"/>
      <w:bookmarkStart w:id="1659" w:name="_Toc31530"/>
      <w:bookmarkStart w:id="1660" w:name="_Toc22801"/>
      <w:bookmarkStart w:id="1661" w:name="_Toc29959"/>
      <w:bookmarkStart w:id="1662" w:name="_Toc19108"/>
      <w:bookmarkStart w:id="1663" w:name="_Toc30873"/>
      <w:bookmarkStart w:id="1664" w:name="_Toc14207"/>
      <w:bookmarkStart w:id="1665" w:name="_Toc18440"/>
      <w:bookmarkStart w:id="1666" w:name="_Toc9274"/>
      <w:bookmarkStart w:id="1667" w:name="_Toc30055"/>
      <w:bookmarkStart w:id="1668" w:name="_Toc12557"/>
      <w:bookmarkStart w:id="1669" w:name="_Toc6544"/>
    </w:p>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p w14:paraId="2171BD3F">
      <w:pPr>
        <w:pStyle w:val="3"/>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1670" w:name="_Toc10194"/>
      <w:bookmarkStart w:id="1671" w:name="_Toc6865"/>
      <w:bookmarkStart w:id="1672" w:name="_Toc12828"/>
      <w:bookmarkStart w:id="1673" w:name="_Toc712"/>
      <w:bookmarkStart w:id="1674" w:name="_Toc88955482"/>
      <w:bookmarkStart w:id="1675" w:name="_Toc14428"/>
      <w:bookmarkStart w:id="1676" w:name="_Toc15476"/>
      <w:bookmarkStart w:id="1677" w:name="_Toc368"/>
      <w:bookmarkStart w:id="1678" w:name="_Toc11411"/>
      <w:bookmarkStart w:id="1679" w:name="_Toc16812"/>
      <w:bookmarkStart w:id="1680" w:name="_Toc10680"/>
      <w:bookmarkStart w:id="1681" w:name="_Toc10015"/>
      <w:bookmarkStart w:id="1682" w:name="_Toc31066"/>
      <w:bookmarkStart w:id="1683" w:name="_Toc22239"/>
      <w:bookmarkStart w:id="1684" w:name="_Toc88954939"/>
      <w:bookmarkStart w:id="1685" w:name="_Toc32414"/>
      <w:bookmarkStart w:id="1686" w:name="_Toc26372"/>
      <w:bookmarkStart w:id="1687" w:name="_Toc7135"/>
      <w:bookmarkStart w:id="1688" w:name="_Toc11517"/>
      <w:bookmarkStart w:id="1689" w:name="_Toc10795"/>
      <w:bookmarkStart w:id="1690" w:name="_Toc30181"/>
      <w:bookmarkStart w:id="1691" w:name="_Toc22017"/>
      <w:bookmarkStart w:id="1692" w:name="_Toc770"/>
      <w:bookmarkStart w:id="1693" w:name="_Toc14244"/>
      <w:bookmarkStart w:id="1694" w:name="_Toc28873"/>
      <w:bookmarkStart w:id="1695" w:name="_Toc676"/>
      <w:bookmarkStart w:id="1696" w:name="_Toc26151"/>
      <w:bookmarkStart w:id="1697" w:name="_Toc20337"/>
      <w:bookmarkStart w:id="1698" w:name="_Toc29382"/>
      <w:r>
        <w:rPr>
          <w:rFonts w:hint="eastAsia"/>
          <w:highlight w:val="none"/>
        </w:rPr>
        <w:t>强化规划</w:t>
      </w:r>
      <w:r>
        <w:rPr>
          <w:highlight w:val="none"/>
        </w:rPr>
        <w:t>保障措施</w:t>
      </w:r>
      <w:r>
        <w:rPr>
          <w:rFonts w:hint="eastAsia"/>
          <w:highlight w:val="none"/>
        </w:rPr>
        <w:t>，确保规划顺利实施</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p w14:paraId="24C2B084">
      <w:pPr>
        <w:pStyle w:val="4"/>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1699" w:name="_Toc14310"/>
      <w:bookmarkStart w:id="1700" w:name="_Toc88955483"/>
      <w:bookmarkStart w:id="1701" w:name="_Toc88954940"/>
      <w:bookmarkStart w:id="1702" w:name="_Toc32525"/>
      <w:bookmarkStart w:id="1703" w:name="_Toc26761"/>
      <w:bookmarkStart w:id="1704" w:name="_Toc17900"/>
      <w:bookmarkStart w:id="1705" w:name="_Toc3752"/>
      <w:bookmarkStart w:id="1706" w:name="_Toc31424"/>
      <w:bookmarkStart w:id="1707" w:name="_Toc10775"/>
      <w:bookmarkStart w:id="1708" w:name="_Toc2668"/>
      <w:bookmarkStart w:id="1709" w:name="_Toc11777"/>
      <w:bookmarkStart w:id="1710" w:name="_Toc10907"/>
      <w:bookmarkStart w:id="1711" w:name="_Toc27644"/>
      <w:bookmarkStart w:id="1712" w:name="_Toc3233"/>
      <w:bookmarkStart w:id="1713" w:name="_Toc28936"/>
      <w:bookmarkStart w:id="1714" w:name="_Toc17092"/>
      <w:bookmarkStart w:id="1715" w:name="_Toc3509"/>
      <w:bookmarkStart w:id="1716" w:name="_Toc19317"/>
      <w:bookmarkStart w:id="1717" w:name="_Toc24010"/>
      <w:bookmarkStart w:id="1718" w:name="_Toc9336"/>
      <w:bookmarkStart w:id="1719" w:name="_Toc16752"/>
      <w:bookmarkStart w:id="1720" w:name="_Toc24456"/>
      <w:bookmarkStart w:id="1721" w:name="_Toc30548"/>
      <w:bookmarkStart w:id="1722" w:name="_Toc20489"/>
      <w:bookmarkStart w:id="1723" w:name="_Toc18221"/>
      <w:bookmarkStart w:id="1724" w:name="_Toc2442"/>
      <w:bookmarkStart w:id="1725" w:name="_Toc27096"/>
      <w:bookmarkStart w:id="1726" w:name="_Toc16638"/>
      <w:bookmarkStart w:id="1727" w:name="_Toc15839"/>
      <w:r>
        <w:rPr>
          <w:rFonts w:hint="eastAsia"/>
          <w:highlight w:val="none"/>
        </w:rPr>
        <w:t>加强组织领导</w:t>
      </w:r>
      <w:bookmarkEnd w:id="1699"/>
      <w:bookmarkEnd w:id="1700"/>
      <w:bookmarkEnd w:id="1701"/>
      <w:bookmarkEnd w:id="1702"/>
    </w:p>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p w14:paraId="300B34C0">
      <w:pPr>
        <w:spacing w:before="156" w:beforeLines="50" w:after="10"/>
        <w:ind w:firstLine="640"/>
        <w:rPr>
          <w:rFonts w:ascii="楷体_GB2312" w:hAnsi="楷体_GB2312" w:eastAsia="楷体_GB2312" w:cs="楷体_GB2312"/>
          <w:highlight w:val="none"/>
        </w:rPr>
      </w:pPr>
      <w:r>
        <w:rPr>
          <w:highlight w:val="none"/>
        </w:rPr>
        <w:t>全面贯彻党中央、国务院</w:t>
      </w:r>
      <w:r>
        <w:rPr>
          <w:rFonts w:hint="eastAsia"/>
          <w:highlight w:val="none"/>
        </w:rPr>
        <w:t>、</w:t>
      </w:r>
      <w:r>
        <w:rPr>
          <w:highlight w:val="none"/>
        </w:rPr>
        <w:t>自治区</w:t>
      </w:r>
      <w:r>
        <w:rPr>
          <w:rFonts w:hint="eastAsia"/>
          <w:highlight w:val="none"/>
        </w:rPr>
        <w:t>和呼伦贝尔市</w:t>
      </w:r>
      <w:r>
        <w:rPr>
          <w:highlight w:val="none"/>
        </w:rPr>
        <w:t>党委、政府决策部署，把生态环境保护摆在全局工作突出地位，坚决落实生态文明建设和生态环境保护责任。</w:t>
      </w:r>
      <w:r>
        <w:rPr>
          <w:rFonts w:hint="eastAsia"/>
          <w:highlight w:val="none"/>
          <w:lang w:val="en-US" w:eastAsia="zh-CN"/>
        </w:rPr>
        <w:t>严格落实</w:t>
      </w:r>
      <w:r>
        <w:rPr>
          <w:highlight w:val="none"/>
        </w:rPr>
        <w:t>本规划确定的目标</w:t>
      </w:r>
      <w:r>
        <w:rPr>
          <w:rFonts w:hint="eastAsia"/>
          <w:highlight w:val="none"/>
          <w:lang w:val="en-US" w:eastAsia="zh-CN"/>
        </w:rPr>
        <w:t>指标和主要任务，推进实施重点工程。</w:t>
      </w:r>
    </w:p>
    <w:p w14:paraId="16623DB7">
      <w:pPr>
        <w:pStyle w:val="4"/>
        <w:spacing w:before="312" w:after="312"/>
        <w:ind w:firstLine="0"/>
        <w:rPr>
          <w:highlight w:val="none"/>
        </w:rPr>
      </w:pPr>
      <w:bookmarkStart w:id="1728" w:name="_Toc32535"/>
      <w:bookmarkStart w:id="1729" w:name="_Toc4607"/>
      <w:bookmarkStart w:id="1730" w:name="_Toc28186"/>
      <w:bookmarkStart w:id="1731" w:name="_Toc2541"/>
      <w:bookmarkStart w:id="1732" w:name="_Toc23296"/>
      <w:bookmarkStart w:id="1733" w:name="_Toc7969"/>
      <w:bookmarkStart w:id="1734" w:name="_Toc18146"/>
      <w:bookmarkStart w:id="1735" w:name="_Toc11141"/>
      <w:bookmarkStart w:id="1736" w:name="_Toc22036"/>
      <w:bookmarkStart w:id="1737" w:name="_Toc15075"/>
      <w:bookmarkStart w:id="1738" w:name="_Toc4350"/>
      <w:bookmarkStart w:id="1739" w:name="_Toc9780"/>
      <w:bookmarkStart w:id="1740" w:name="_Toc9165"/>
      <w:bookmarkStart w:id="1741" w:name="_Toc25998"/>
      <w:bookmarkStart w:id="1742" w:name="_Toc21872"/>
      <w:bookmarkStart w:id="1743" w:name="_Toc16580"/>
      <w:bookmarkStart w:id="1744" w:name="_Toc22672"/>
      <w:bookmarkStart w:id="1745" w:name="_Toc16210"/>
      <w:bookmarkStart w:id="1746" w:name="_Toc31580"/>
      <w:bookmarkStart w:id="1747" w:name="_Toc3110"/>
      <w:bookmarkStart w:id="1748" w:name="_Toc8831"/>
      <w:bookmarkStart w:id="1749" w:name="_Toc20015"/>
      <w:bookmarkStart w:id="1750" w:name="_Toc11831"/>
      <w:bookmarkStart w:id="1751" w:name="_Toc28173"/>
      <w:bookmarkStart w:id="1752" w:name="_Toc26225"/>
      <w:bookmarkStart w:id="1753" w:name="_Toc88955484"/>
      <w:bookmarkStart w:id="1754" w:name="_Toc16322"/>
      <w:bookmarkStart w:id="1755" w:name="_Toc88954941"/>
      <w:bookmarkStart w:id="1756" w:name="_Toc28400"/>
      <w:r>
        <w:rPr>
          <w:rFonts w:hint="eastAsia"/>
          <w:highlight w:val="none"/>
          <w:lang w:val="en-US" w:eastAsia="zh-CN"/>
        </w:rPr>
        <w:t>落实资金保障</w:t>
      </w:r>
      <w:bookmarkEnd w:id="1728"/>
    </w:p>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p w14:paraId="5FCEB21B">
      <w:pPr>
        <w:spacing w:before="156" w:beforeLines="50" w:after="10"/>
        <w:ind w:firstLine="640"/>
        <w:jc w:val="left"/>
        <w:rPr>
          <w:highlight w:val="none"/>
        </w:rPr>
      </w:pPr>
      <w:r>
        <w:rPr>
          <w:highlight w:val="none"/>
        </w:rPr>
        <w:t>落实生态环境领域财政事权和支出责任划分要求，健全生态环境领域财政体制，增强基层生态环保基本公共服务保障能力。</w:t>
      </w:r>
      <w:r>
        <w:rPr>
          <w:rFonts w:hint="eastAsia"/>
          <w:highlight w:val="none"/>
          <w:lang w:val="en-US" w:eastAsia="zh-CN"/>
        </w:rPr>
        <w:t>依法合规</w:t>
      </w:r>
      <w:r>
        <w:rPr>
          <w:highlight w:val="none"/>
        </w:rPr>
        <w:t>创新投融资模式，拓宽资金</w:t>
      </w:r>
      <w:r>
        <w:rPr>
          <w:rFonts w:hint="eastAsia" w:hAnsi="黑体" w:cs="Times New Roman"/>
          <w:bCs/>
          <w:highlight w:val="none"/>
        </w:rPr>
        <w:t>投入</w:t>
      </w:r>
      <w:r>
        <w:rPr>
          <w:highlight w:val="none"/>
        </w:rPr>
        <w:t>渠道，建立政府、企业、社会多元化投融资机制，鼓励创业投资企业等增加生态环保投入。</w:t>
      </w:r>
      <w:r>
        <w:rPr>
          <w:rFonts w:ascii="仿宋_GB2312" w:hAnsi="仿宋_GB2312" w:eastAsia="仿宋_GB2312" w:cs="仿宋_GB2312"/>
          <w:sz w:val="32"/>
          <w:szCs w:val="32"/>
          <w:highlight w:val="none"/>
        </w:rPr>
        <w:t>完善绿色发展基金体系与配套机制，统筹生态修复、环境治理、生态环境损害赔偿等资金管理。</w:t>
      </w:r>
      <w:r>
        <w:rPr>
          <w:highlight w:val="none"/>
        </w:rPr>
        <w:t>大力推进绿色金融改革创新，完善绿色金融市场，开发绿色金融产品。</w:t>
      </w:r>
    </w:p>
    <w:p w14:paraId="48C68998">
      <w:pPr>
        <w:pStyle w:val="4"/>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1757" w:name="_Toc24022"/>
      <w:bookmarkStart w:id="1758" w:name="_Toc31335"/>
      <w:bookmarkStart w:id="1759" w:name="_Toc88954943"/>
      <w:bookmarkStart w:id="1760" w:name="_Toc88955486"/>
      <w:bookmarkStart w:id="1761" w:name="_Toc7722"/>
      <w:bookmarkStart w:id="1762" w:name="_Toc8666"/>
      <w:bookmarkStart w:id="1763" w:name="_Toc11027"/>
      <w:bookmarkStart w:id="1764" w:name="_Toc5797"/>
      <w:bookmarkStart w:id="1765" w:name="_Toc4618"/>
      <w:bookmarkStart w:id="1766" w:name="_Toc10972"/>
      <w:bookmarkStart w:id="1767" w:name="_Toc20154"/>
      <w:bookmarkStart w:id="1768" w:name="_Toc967"/>
      <w:bookmarkStart w:id="1769" w:name="_Toc17038"/>
      <w:bookmarkStart w:id="1770" w:name="_Toc25800"/>
      <w:bookmarkStart w:id="1771" w:name="_Toc28339"/>
      <w:bookmarkStart w:id="1772" w:name="_Toc24999"/>
      <w:bookmarkStart w:id="1773" w:name="_Toc25502"/>
      <w:bookmarkStart w:id="1774" w:name="_Toc2762"/>
      <w:bookmarkStart w:id="1775" w:name="_Toc5153"/>
      <w:bookmarkStart w:id="1776" w:name="_Toc2664"/>
      <w:bookmarkStart w:id="1777" w:name="_Toc343"/>
      <w:bookmarkStart w:id="1778" w:name="_Toc7550"/>
      <w:bookmarkStart w:id="1779" w:name="_Toc30185"/>
      <w:bookmarkStart w:id="1780" w:name="_Toc20995"/>
      <w:bookmarkStart w:id="1781" w:name="_Toc16876"/>
      <w:bookmarkStart w:id="1782" w:name="_Toc13356"/>
      <w:bookmarkStart w:id="1783" w:name="_Toc17409"/>
      <w:bookmarkStart w:id="1784" w:name="_Toc5977"/>
      <w:bookmarkStart w:id="1785" w:name="_Toc11388"/>
      <w:r>
        <w:rPr>
          <w:rFonts w:hint="eastAsia"/>
          <w:highlight w:val="none"/>
          <w:lang w:val="en-US" w:eastAsia="zh-CN"/>
        </w:rPr>
        <w:t>强化监管与考核</w:t>
      </w:r>
      <w:bookmarkEnd w:id="1757"/>
    </w:p>
    <w:p w14:paraId="7DA95494">
      <w:pPr>
        <w:rPr>
          <w:highlight w:val="none"/>
        </w:rPr>
      </w:pPr>
      <w:r>
        <w:rPr>
          <w:rFonts w:hint="eastAsia"/>
          <w:highlight w:val="none"/>
        </w:rPr>
        <w:t>建立长效管理机制，制定考核与问责等工作制度，强化生态环境监管人员、设备和经费等保障，确保生态环境监管见实见效。完善生态环境保护目标责任考核体系，加强生态环境保护、节能减污降碳约束性指标管理，突出中央生态环境保护督察反馈问题整改、污染防治攻坚成效、生态环境质量改善等指标的考核，加强考核结果应用，将考核结果作为领导班子和领导干部任用和奖惩、专项资金安排的重要依据。</w:t>
      </w:r>
    </w:p>
    <w:p w14:paraId="6EDE51A0">
      <w:pPr>
        <w:pStyle w:val="4"/>
        <w:spacing w:before="312" w:after="312"/>
        <w:ind w:firstLine="0"/>
        <w:rPr>
          <w:highlight w:val="none"/>
        </w:rPr>
      </w:pPr>
      <w:bookmarkStart w:id="1786" w:name="_Toc18167"/>
      <w:r>
        <w:rPr>
          <w:rFonts w:hint="eastAsia"/>
          <w:highlight w:val="none"/>
        </w:rPr>
        <w:t>强化人才保障</w:t>
      </w:r>
      <w:bookmarkEnd w:id="1758"/>
      <w:bookmarkEnd w:id="1759"/>
      <w:bookmarkEnd w:id="1760"/>
      <w:bookmarkEnd w:id="1786"/>
    </w:p>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p w14:paraId="3008EBBA">
      <w:pPr>
        <w:spacing w:before="156" w:beforeLines="50" w:after="10"/>
        <w:ind w:firstLine="640"/>
        <w:jc w:val="left"/>
        <w:rPr>
          <w:highlight w:val="none"/>
        </w:rPr>
      </w:pPr>
      <w:bookmarkStart w:id="1787" w:name="_Toc8917"/>
      <w:bookmarkStart w:id="1788" w:name="_Toc21729"/>
      <w:bookmarkStart w:id="1789" w:name="_Toc32056"/>
      <w:r>
        <w:rPr>
          <w:rFonts w:hint="eastAsia"/>
          <w:highlight w:val="none"/>
        </w:rPr>
        <w:t>强化生态环境领域专业人才队伍建设，扩大人才队伍数量，提高人才队伍素质，优化人才队伍结构，加大高层次人才开发培养、引进力度。实施人才体制机制创新，提升人才发展的基础保障能力，建立人才库，盘活现有人才资源，按需用人，释放和增强人才活力，促进人才规模、质量和结构与全区生态文明建设进一步融合，为生态文明建设和生态环境保护奠定人才基础。</w:t>
      </w:r>
      <w:bookmarkEnd w:id="1787"/>
      <w:bookmarkEnd w:id="1788"/>
    </w:p>
    <w:p w14:paraId="2E5EAA64">
      <w:pPr>
        <w:pStyle w:val="4"/>
        <w:keepNext w:val="0"/>
        <w:keepLines w:val="0"/>
        <w:pageBreakBefore w:val="0"/>
        <w:widowControl w:val="0"/>
        <w:kinsoku/>
        <w:wordWrap/>
        <w:overflowPunct/>
        <w:topLinePunct w:val="0"/>
        <w:autoSpaceDE/>
        <w:autoSpaceDN/>
        <w:bidi w:val="0"/>
        <w:adjustRightInd/>
        <w:snapToGrid/>
        <w:spacing w:before="312" w:after="312"/>
        <w:ind w:firstLine="0"/>
        <w:textAlignment w:val="auto"/>
        <w:rPr>
          <w:highlight w:val="none"/>
        </w:rPr>
      </w:pPr>
      <w:bookmarkStart w:id="1790" w:name="_Toc24006"/>
      <w:bookmarkStart w:id="1791" w:name="_Toc6824"/>
      <w:bookmarkStart w:id="1792" w:name="_Toc88954944"/>
      <w:bookmarkStart w:id="1793" w:name="_Toc88955487"/>
      <w:bookmarkStart w:id="1794" w:name="_Toc20343"/>
      <w:bookmarkStart w:id="1795" w:name="_Toc23757"/>
      <w:bookmarkStart w:id="1796" w:name="_Toc20511"/>
      <w:bookmarkStart w:id="1797" w:name="_Toc20793"/>
      <w:bookmarkStart w:id="1798" w:name="_Toc30599"/>
      <w:bookmarkStart w:id="1799" w:name="_Toc20238"/>
      <w:bookmarkStart w:id="1800" w:name="_Toc31858"/>
      <w:bookmarkStart w:id="1801" w:name="_Toc4134"/>
      <w:bookmarkStart w:id="1802" w:name="_Toc3145"/>
      <w:bookmarkStart w:id="1803" w:name="_Toc15228"/>
      <w:bookmarkStart w:id="1804" w:name="_Toc1440"/>
      <w:bookmarkStart w:id="1805" w:name="_Toc25876"/>
      <w:bookmarkStart w:id="1806" w:name="_Toc2294"/>
      <w:bookmarkStart w:id="1807" w:name="_Toc25851"/>
      <w:bookmarkStart w:id="1808" w:name="_Toc24857"/>
      <w:bookmarkStart w:id="1809" w:name="_Toc28553"/>
      <w:bookmarkStart w:id="1810" w:name="_Toc29628"/>
      <w:bookmarkStart w:id="1811" w:name="_Toc13411"/>
      <w:bookmarkStart w:id="1812" w:name="_Toc6404"/>
      <w:bookmarkStart w:id="1813" w:name="_Toc29923"/>
      <w:bookmarkStart w:id="1814" w:name="_Toc5068"/>
      <w:bookmarkStart w:id="1815" w:name="_Toc573"/>
      <w:bookmarkStart w:id="1816" w:name="_Toc23743"/>
      <w:bookmarkStart w:id="1817" w:name="_Toc24664"/>
      <w:r>
        <w:rPr>
          <w:rFonts w:hint="eastAsia"/>
          <w:highlight w:val="none"/>
        </w:rPr>
        <w:t>强化社会监督</w:t>
      </w:r>
      <w:bookmarkEnd w:id="1790"/>
      <w:bookmarkEnd w:id="1791"/>
      <w:bookmarkEnd w:id="1792"/>
      <w:bookmarkEnd w:id="1793"/>
    </w:p>
    <w:bookmarkEnd w:id="1789"/>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p w14:paraId="719E81F5">
      <w:pPr>
        <w:ind w:firstLine="640"/>
        <w:rPr>
          <w:highlight w:val="none"/>
        </w:rPr>
      </w:pPr>
      <w:r>
        <w:rPr>
          <w:rFonts w:hint="eastAsia"/>
          <w:highlight w:val="none"/>
        </w:rPr>
        <w:t>加强舆论监督，完善定期新闻发布制度，畅通新闻媒体沟通机制。疏通多元化信访通道，统筹来电、来访、“12369”“12345”热线电话、微信微博、网上投诉、电子邮件等信访投诉问题，扎实做好环境信访工作和网络舆情管控，及时妥善解决好群众关心、关注的生态环境问题，切实维护人民群众的生态环境权益。</w:t>
      </w:r>
    </w:p>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CBE62">
    <w:pPr>
      <w:pStyle w:val="2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EAFBD">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04996">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5517747"/>
    </w:sdtPr>
    <w:sdtContent>
      <w:p w14:paraId="77046F8A">
        <w:pPr>
          <w:pStyle w:val="22"/>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8308616"/>
    </w:sdtPr>
    <w:sdtContent>
      <w:p w14:paraId="53C56EA0">
        <w:pPr>
          <w:pStyle w:val="22"/>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0559"/>
    </w:sdtPr>
    <w:sdtContent>
      <w:p w14:paraId="1FB61848">
        <w:pPr>
          <w:pStyle w:val="22"/>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D52BD">
    <w:pPr>
      <w:pStyle w:val="2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31F9B">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C44BC">
    <w:pPr>
      <w:pStyle w:val="2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751D5"/>
    <w:multiLevelType w:val="singleLevel"/>
    <w:tmpl w:val="82E751D5"/>
    <w:lvl w:ilvl="0" w:tentative="0">
      <w:start w:val="1"/>
      <w:numFmt w:val="decimal"/>
      <w:pStyle w:val="49"/>
      <w:lvlText w:val="%1."/>
      <w:lvlJc w:val="left"/>
      <w:pPr>
        <w:ind w:left="0" w:hanging="425"/>
      </w:pPr>
      <w:rPr>
        <w:rFonts w:hint="default"/>
      </w:rPr>
    </w:lvl>
  </w:abstractNum>
  <w:abstractNum w:abstractNumId="1">
    <w:nsid w:val="AA457020"/>
    <w:multiLevelType w:val="multilevel"/>
    <w:tmpl w:val="AA457020"/>
    <w:lvl w:ilvl="0" w:tentative="0">
      <w:start w:val="1"/>
      <w:numFmt w:val="decimal"/>
      <w:suff w:val="nothing"/>
      <w:lvlText w:val="第%1章 "/>
      <w:lvlJc w:val="left"/>
      <w:pPr>
        <w:tabs>
          <w:tab w:val="left" w:pos="0"/>
        </w:tabs>
        <w:ind w:left="432" w:hanging="432"/>
      </w:pPr>
      <w:rPr>
        <w:rFonts w:hint="default" w:ascii="Times New Roman" w:hAnsi="Times New Roman" w:eastAsia="黑体" w:cs="宋体"/>
      </w:rPr>
    </w:lvl>
    <w:lvl w:ilvl="1" w:tentative="0">
      <w:start w:val="1"/>
      <w:numFmt w:val="decimal"/>
      <w:isLgl/>
      <w:lvlText w:val="%1.%2."/>
      <w:lvlJc w:val="left"/>
      <w:pPr>
        <w:ind w:left="575" w:hanging="575"/>
      </w:pPr>
      <w:rPr>
        <w:rFonts w:hint="eastAsia"/>
      </w:rPr>
    </w:lvl>
    <w:lvl w:ilvl="2" w:tentative="0">
      <w:start w:val="1"/>
      <w:numFmt w:val="decimal"/>
      <w:isLgl/>
      <w:lvlText w:val="%3."/>
      <w:lvlJc w:val="left"/>
      <w:pPr>
        <w:ind w:left="720" w:hanging="720"/>
      </w:pPr>
      <w:rPr>
        <w:rFonts w:hint="default" w:ascii="Times New Roman" w:hAnsi="Times New Roman" w:eastAsia="宋体" w:cs="Times New Roman"/>
      </w:rPr>
    </w:lvl>
    <w:lvl w:ilvl="3" w:tentative="0">
      <w:start w:val="1"/>
      <w:numFmt w:val="decimal"/>
      <w:pStyle w:val="9"/>
      <w:isLgl/>
      <w:lvlText w:val="%1.%2.%3.%4."/>
      <w:lvlJc w:val="left"/>
      <w:pPr>
        <w:ind w:left="864" w:hanging="864"/>
      </w:pPr>
      <w:rPr>
        <w:rFonts w:hint="eastAsia"/>
      </w:rPr>
    </w:lvl>
    <w:lvl w:ilvl="4" w:tentative="0">
      <w:start w:val="1"/>
      <w:numFmt w:val="decimal"/>
      <w:pStyle w:val="10"/>
      <w:isLgl/>
      <w:lvlText w:val="%1.%2.%3.%4.%5."/>
      <w:lvlJc w:val="left"/>
      <w:pPr>
        <w:ind w:left="1008" w:hanging="1008"/>
      </w:pPr>
      <w:rPr>
        <w:rFonts w:hint="eastAsia"/>
      </w:rPr>
    </w:lvl>
    <w:lvl w:ilvl="5" w:tentative="0">
      <w:start w:val="1"/>
      <w:numFmt w:val="decimal"/>
      <w:pStyle w:val="11"/>
      <w:isLgl/>
      <w:lvlText w:val="%1.%2.%3.%4.%5.%6."/>
      <w:lvlJc w:val="left"/>
      <w:pPr>
        <w:ind w:left="1151" w:hanging="1151"/>
      </w:pPr>
      <w:rPr>
        <w:rFonts w:hint="eastAsia"/>
      </w:rPr>
    </w:lvl>
    <w:lvl w:ilvl="6" w:tentative="0">
      <w:start w:val="1"/>
      <w:numFmt w:val="decimal"/>
      <w:pStyle w:val="12"/>
      <w:isLgl/>
      <w:lvlText w:val="%1.%2.%3.%4.%5.%6.%7."/>
      <w:lvlJc w:val="left"/>
      <w:pPr>
        <w:ind w:left="1296" w:hanging="1296"/>
      </w:pPr>
      <w:rPr>
        <w:rFonts w:hint="eastAsia"/>
      </w:rPr>
    </w:lvl>
    <w:lvl w:ilvl="7" w:tentative="0">
      <w:start w:val="1"/>
      <w:numFmt w:val="decimal"/>
      <w:pStyle w:val="13"/>
      <w:isLgl/>
      <w:lvlText w:val="%1.%2.%3.%4.%5.%6.%7.%8."/>
      <w:lvlJc w:val="left"/>
      <w:pPr>
        <w:ind w:left="1440" w:hanging="1440"/>
      </w:pPr>
      <w:rPr>
        <w:rFonts w:hint="eastAsia"/>
      </w:rPr>
    </w:lvl>
    <w:lvl w:ilvl="8" w:tentative="0">
      <w:start w:val="1"/>
      <w:numFmt w:val="decimal"/>
      <w:pStyle w:val="14"/>
      <w:isLgl/>
      <w:lvlText w:val="%1.%2.%3.%4.%5.%6.%7.%8.%9."/>
      <w:lvlJc w:val="left"/>
      <w:pPr>
        <w:ind w:left="1583" w:hanging="1583"/>
      </w:pPr>
      <w:rPr>
        <w:rFonts w:hint="eastAsia"/>
      </w:rPr>
    </w:lvl>
  </w:abstractNum>
  <w:abstractNum w:abstractNumId="2">
    <w:nsid w:val="00591421"/>
    <w:multiLevelType w:val="multilevel"/>
    <w:tmpl w:val="00591421"/>
    <w:lvl w:ilvl="0" w:tentative="0">
      <w:start w:val="1"/>
      <w:numFmt w:val="decimal"/>
      <w:pStyle w:val="6"/>
      <w:lvlText w:val="%1."/>
      <w:lvlJc w:val="left"/>
      <w:pPr>
        <w:ind w:left="846" w:hanging="420"/>
      </w:pPr>
      <w:rPr>
        <w:rFonts w:hint="default" w:ascii="Times New Roman" w:hAnsi="Times New Roman" w:cs="Times New Roman"/>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EB6D50"/>
    <w:multiLevelType w:val="multilevel"/>
    <w:tmpl w:val="58EB6D50"/>
    <w:lvl w:ilvl="0" w:tentative="0">
      <w:start w:val="1"/>
      <w:numFmt w:val="chineseCounting"/>
      <w:pStyle w:val="3"/>
      <w:lvlText w:val="第%1章"/>
      <w:lvlJc w:val="left"/>
      <w:pPr>
        <w:ind w:left="0" w:firstLine="0"/>
      </w:pPr>
      <w:rPr>
        <w:rFonts w:hint="eastAsia" w:ascii="宋体" w:hAnsi="宋体" w:eastAsia="黑体" w:cs="宋体"/>
        <w:sz w:val="32"/>
        <w:szCs w:val="32"/>
      </w:rPr>
    </w:lvl>
    <w:lvl w:ilvl="1" w:tentative="0">
      <w:start w:val="1"/>
      <w:numFmt w:val="chineseCounting"/>
      <w:pStyle w:val="4"/>
      <w:lvlText w:val="第%2节"/>
      <w:lvlJc w:val="left"/>
      <w:pPr>
        <w:ind w:left="0" w:firstLine="0"/>
      </w:pPr>
      <w:rPr>
        <w:rFonts w:hint="eastAsia" w:ascii="宋体" w:hAnsi="宋体" w:eastAsia="楷体_GB2312" w:cs="宋体"/>
      </w:rPr>
    </w:lvl>
    <w:lvl w:ilvl="2" w:tentative="0">
      <w:start w:val="1"/>
      <w:numFmt w:val="decimalFullWidth"/>
      <w:pStyle w:val="5"/>
      <w:lvlText w:val="%3."/>
      <w:lvlJc w:val="left"/>
      <w:pPr>
        <w:ind w:left="0" w:firstLine="0"/>
      </w:pPr>
      <w:rPr>
        <w:rFonts w:hint="eastAsia" w:ascii="Times New Roman" w:hAnsi="Times New Roman" w:eastAsia="仿宋_GB2312" w:cs="仿宋_GB2312"/>
        <w:b/>
        <w:bCs/>
        <w:color w:val="000000" w:themeColor="text1"/>
        <w:sz w:val="32"/>
        <w:szCs w:val="32"/>
        <w14:textFill>
          <w14:solidFill>
            <w14:schemeClr w14:val="tx1"/>
          </w14:solidFill>
        </w14:textFill>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74CD1C43"/>
    <w:multiLevelType w:val="multilevel"/>
    <w:tmpl w:val="74CD1C43"/>
    <w:lvl w:ilvl="0" w:tentative="0">
      <w:start w:val="1"/>
      <w:numFmt w:val="chineseCountingThousand"/>
      <w:lvlText w:val="第%1章"/>
      <w:lvlJc w:val="center"/>
      <w:pPr>
        <w:ind w:left="2978" w:firstLine="0"/>
      </w:pPr>
      <w:rPr>
        <w:rFonts w:hint="eastAsia"/>
      </w:rPr>
    </w:lvl>
    <w:lvl w:ilvl="1" w:tentative="0">
      <w:start w:val="1"/>
      <w:numFmt w:val="chineseCountingThousand"/>
      <w:pStyle w:val="47"/>
      <w:suff w:val="nothing"/>
      <w:lvlText w:val="第%2节"/>
      <w:lvlJc w:val="left"/>
      <w:pPr>
        <w:ind w:left="2400" w:firstLine="680"/>
      </w:pPr>
      <w:rPr>
        <w:rFonts w:hint="eastAsia"/>
      </w:rPr>
    </w:lvl>
    <w:lvl w:ilvl="2" w:tentative="0">
      <w:start w:val="1"/>
      <w:numFmt w:val="none"/>
      <w:suff w:val="nothing"/>
      <w:lvlText w:val=""/>
      <w:lvlJc w:val="left"/>
      <w:pPr>
        <w:ind w:left="2552" w:firstLine="0"/>
      </w:pPr>
      <w:rPr>
        <w:rFonts w:hint="eastAsia"/>
      </w:rPr>
    </w:lvl>
    <w:lvl w:ilvl="3" w:tentative="0">
      <w:start w:val="1"/>
      <w:numFmt w:val="none"/>
      <w:suff w:val="nothing"/>
      <w:lvlText w:val=""/>
      <w:lvlJc w:val="left"/>
      <w:pPr>
        <w:ind w:left="2552" w:firstLine="0"/>
      </w:pPr>
      <w:rPr>
        <w:rFonts w:hint="eastAsia"/>
      </w:rPr>
    </w:lvl>
    <w:lvl w:ilvl="4" w:tentative="0">
      <w:start w:val="1"/>
      <w:numFmt w:val="none"/>
      <w:suff w:val="nothing"/>
      <w:lvlText w:val=""/>
      <w:lvlJc w:val="left"/>
      <w:pPr>
        <w:ind w:left="2552" w:firstLine="0"/>
      </w:pPr>
      <w:rPr>
        <w:rFonts w:hint="eastAsia"/>
      </w:rPr>
    </w:lvl>
    <w:lvl w:ilvl="5" w:tentative="0">
      <w:start w:val="1"/>
      <w:numFmt w:val="none"/>
      <w:suff w:val="nothing"/>
      <w:lvlText w:val=""/>
      <w:lvlJc w:val="left"/>
      <w:pPr>
        <w:ind w:left="2552" w:firstLine="0"/>
      </w:pPr>
      <w:rPr>
        <w:rFonts w:hint="eastAsia"/>
      </w:rPr>
    </w:lvl>
    <w:lvl w:ilvl="6" w:tentative="0">
      <w:start w:val="1"/>
      <w:numFmt w:val="none"/>
      <w:suff w:val="nothing"/>
      <w:lvlText w:val=""/>
      <w:lvlJc w:val="left"/>
      <w:pPr>
        <w:ind w:left="2552" w:firstLine="0"/>
      </w:pPr>
      <w:rPr>
        <w:rFonts w:hint="eastAsia"/>
      </w:rPr>
    </w:lvl>
    <w:lvl w:ilvl="7" w:tentative="0">
      <w:start w:val="1"/>
      <w:numFmt w:val="none"/>
      <w:suff w:val="nothing"/>
      <w:lvlText w:val=""/>
      <w:lvlJc w:val="left"/>
      <w:pPr>
        <w:ind w:left="2552" w:firstLine="0"/>
      </w:pPr>
      <w:rPr>
        <w:rFonts w:hint="eastAsia"/>
      </w:rPr>
    </w:lvl>
    <w:lvl w:ilvl="8" w:tentative="0">
      <w:start w:val="1"/>
      <w:numFmt w:val="none"/>
      <w:suff w:val="nothing"/>
      <w:lvlText w:val=""/>
      <w:lvlJc w:val="left"/>
      <w:pPr>
        <w:ind w:left="2552" w:firstLine="0"/>
      </w:pPr>
      <w:rPr>
        <w:rFonts w:hint="eastAsia"/>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displayBackgroundShape w:val="1"/>
  <w:embedSystemFonts/>
  <w:bordersDoNotSurroundHeader w:val="1"/>
  <w:bordersDoNotSurroundFooter w:val="1"/>
  <w:documentProtection w:enforcement="0"/>
  <w:defaultTabStop w:val="416"/>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5OGE0YWU0NDA1NjllYmQ5NWUyOTJmNzRiYjM1OWEifQ=="/>
  </w:docVars>
  <w:rsids>
    <w:rsidRoot w:val="72346AE1"/>
    <w:rsid w:val="00013C3A"/>
    <w:rsid w:val="000531F5"/>
    <w:rsid w:val="00055F75"/>
    <w:rsid w:val="00096006"/>
    <w:rsid w:val="000A164E"/>
    <w:rsid w:val="000D6E48"/>
    <w:rsid w:val="00124D2B"/>
    <w:rsid w:val="0013312A"/>
    <w:rsid w:val="00140494"/>
    <w:rsid w:val="0016008A"/>
    <w:rsid w:val="00162780"/>
    <w:rsid w:val="001714D2"/>
    <w:rsid w:val="00183952"/>
    <w:rsid w:val="001A1459"/>
    <w:rsid w:val="001B262B"/>
    <w:rsid w:val="001B74A0"/>
    <w:rsid w:val="001C676B"/>
    <w:rsid w:val="001E01B5"/>
    <w:rsid w:val="001F1ECB"/>
    <w:rsid w:val="0020066E"/>
    <w:rsid w:val="00235D05"/>
    <w:rsid w:val="002755E2"/>
    <w:rsid w:val="0028378E"/>
    <w:rsid w:val="0029694A"/>
    <w:rsid w:val="002A7C24"/>
    <w:rsid w:val="002E49A3"/>
    <w:rsid w:val="002F4B7F"/>
    <w:rsid w:val="00321601"/>
    <w:rsid w:val="0032254F"/>
    <w:rsid w:val="00337D06"/>
    <w:rsid w:val="003601C5"/>
    <w:rsid w:val="003729E8"/>
    <w:rsid w:val="00382F58"/>
    <w:rsid w:val="00394361"/>
    <w:rsid w:val="003B07EB"/>
    <w:rsid w:val="003C5054"/>
    <w:rsid w:val="004160FC"/>
    <w:rsid w:val="00416FB3"/>
    <w:rsid w:val="004235DD"/>
    <w:rsid w:val="00433C8A"/>
    <w:rsid w:val="00440783"/>
    <w:rsid w:val="0044187E"/>
    <w:rsid w:val="00467947"/>
    <w:rsid w:val="00474C22"/>
    <w:rsid w:val="004A7910"/>
    <w:rsid w:val="004B7ABC"/>
    <w:rsid w:val="004C0183"/>
    <w:rsid w:val="0051721D"/>
    <w:rsid w:val="0053112E"/>
    <w:rsid w:val="00557EC2"/>
    <w:rsid w:val="00574376"/>
    <w:rsid w:val="00592C96"/>
    <w:rsid w:val="005A7EA7"/>
    <w:rsid w:val="005E15D1"/>
    <w:rsid w:val="005E423B"/>
    <w:rsid w:val="005F1987"/>
    <w:rsid w:val="00610D97"/>
    <w:rsid w:val="006511E2"/>
    <w:rsid w:val="006709DA"/>
    <w:rsid w:val="00671F52"/>
    <w:rsid w:val="006B4C9A"/>
    <w:rsid w:val="006F1821"/>
    <w:rsid w:val="006F1988"/>
    <w:rsid w:val="006F556E"/>
    <w:rsid w:val="00701507"/>
    <w:rsid w:val="0071228C"/>
    <w:rsid w:val="00720C80"/>
    <w:rsid w:val="007432EF"/>
    <w:rsid w:val="00755477"/>
    <w:rsid w:val="00771457"/>
    <w:rsid w:val="007C1ABD"/>
    <w:rsid w:val="007D1350"/>
    <w:rsid w:val="007D59FE"/>
    <w:rsid w:val="007D77C5"/>
    <w:rsid w:val="007F144D"/>
    <w:rsid w:val="00824D8E"/>
    <w:rsid w:val="00873A67"/>
    <w:rsid w:val="008B77F5"/>
    <w:rsid w:val="008B7EE1"/>
    <w:rsid w:val="008D2342"/>
    <w:rsid w:val="00901D08"/>
    <w:rsid w:val="0090789E"/>
    <w:rsid w:val="00921699"/>
    <w:rsid w:val="00931DD2"/>
    <w:rsid w:val="00935C34"/>
    <w:rsid w:val="009548E3"/>
    <w:rsid w:val="0099089E"/>
    <w:rsid w:val="009B023B"/>
    <w:rsid w:val="009B0D3F"/>
    <w:rsid w:val="009C0A5F"/>
    <w:rsid w:val="009C4B58"/>
    <w:rsid w:val="009E25C8"/>
    <w:rsid w:val="009F000E"/>
    <w:rsid w:val="00A0171A"/>
    <w:rsid w:val="00A040F9"/>
    <w:rsid w:val="00A35951"/>
    <w:rsid w:val="00A411CE"/>
    <w:rsid w:val="00A44663"/>
    <w:rsid w:val="00A53AE1"/>
    <w:rsid w:val="00A94769"/>
    <w:rsid w:val="00AA6B33"/>
    <w:rsid w:val="00AC240B"/>
    <w:rsid w:val="00B06B20"/>
    <w:rsid w:val="00B42762"/>
    <w:rsid w:val="00B432C2"/>
    <w:rsid w:val="00B44CA8"/>
    <w:rsid w:val="00B46A93"/>
    <w:rsid w:val="00B523ED"/>
    <w:rsid w:val="00B673F5"/>
    <w:rsid w:val="00B73A3A"/>
    <w:rsid w:val="00B77A64"/>
    <w:rsid w:val="00B93BF4"/>
    <w:rsid w:val="00BA5DDE"/>
    <w:rsid w:val="00BB0AF8"/>
    <w:rsid w:val="00BB6999"/>
    <w:rsid w:val="00BC78E1"/>
    <w:rsid w:val="00C06406"/>
    <w:rsid w:val="00C07CF1"/>
    <w:rsid w:val="00C16D2A"/>
    <w:rsid w:val="00C42474"/>
    <w:rsid w:val="00C60A2D"/>
    <w:rsid w:val="00C9684A"/>
    <w:rsid w:val="00CB6D3A"/>
    <w:rsid w:val="00CE0983"/>
    <w:rsid w:val="00CE4FB9"/>
    <w:rsid w:val="00CF40E6"/>
    <w:rsid w:val="00D1705E"/>
    <w:rsid w:val="00D211BD"/>
    <w:rsid w:val="00D23242"/>
    <w:rsid w:val="00D40F74"/>
    <w:rsid w:val="00D55B6D"/>
    <w:rsid w:val="00D63A99"/>
    <w:rsid w:val="00E061D5"/>
    <w:rsid w:val="00E107B1"/>
    <w:rsid w:val="00E46907"/>
    <w:rsid w:val="00E4743B"/>
    <w:rsid w:val="00E575EA"/>
    <w:rsid w:val="00E81692"/>
    <w:rsid w:val="00EA358D"/>
    <w:rsid w:val="00EB2252"/>
    <w:rsid w:val="00EB322A"/>
    <w:rsid w:val="00EB4289"/>
    <w:rsid w:val="00EB513E"/>
    <w:rsid w:val="00EE5A48"/>
    <w:rsid w:val="00F2426B"/>
    <w:rsid w:val="00F67123"/>
    <w:rsid w:val="00F96F99"/>
    <w:rsid w:val="00FA467B"/>
    <w:rsid w:val="00FB4C8F"/>
    <w:rsid w:val="00FC103D"/>
    <w:rsid w:val="00FD3B91"/>
    <w:rsid w:val="00FE4ED0"/>
    <w:rsid w:val="00FE5860"/>
    <w:rsid w:val="00FF24D6"/>
    <w:rsid w:val="0118379E"/>
    <w:rsid w:val="01682A59"/>
    <w:rsid w:val="01FF2D5B"/>
    <w:rsid w:val="029F7590"/>
    <w:rsid w:val="02CA5A9E"/>
    <w:rsid w:val="04423B6F"/>
    <w:rsid w:val="05945A24"/>
    <w:rsid w:val="067C05DC"/>
    <w:rsid w:val="07C35B02"/>
    <w:rsid w:val="08B374B6"/>
    <w:rsid w:val="08B57B3D"/>
    <w:rsid w:val="08C55E30"/>
    <w:rsid w:val="09526CDC"/>
    <w:rsid w:val="09900AE2"/>
    <w:rsid w:val="0B9322F8"/>
    <w:rsid w:val="0F4132F2"/>
    <w:rsid w:val="0F6A2898"/>
    <w:rsid w:val="0F806CD1"/>
    <w:rsid w:val="0F8C6E91"/>
    <w:rsid w:val="0F901117"/>
    <w:rsid w:val="106352C4"/>
    <w:rsid w:val="10CD473F"/>
    <w:rsid w:val="11451283"/>
    <w:rsid w:val="13827CCC"/>
    <w:rsid w:val="138D20E0"/>
    <w:rsid w:val="13BE25D1"/>
    <w:rsid w:val="14F90946"/>
    <w:rsid w:val="15D80BBD"/>
    <w:rsid w:val="16A7592E"/>
    <w:rsid w:val="16AE2088"/>
    <w:rsid w:val="16EA3375"/>
    <w:rsid w:val="170F44EB"/>
    <w:rsid w:val="19376043"/>
    <w:rsid w:val="1A5229CC"/>
    <w:rsid w:val="1C9C3DB5"/>
    <w:rsid w:val="1CAC2F31"/>
    <w:rsid w:val="1D4235FA"/>
    <w:rsid w:val="1DF779ED"/>
    <w:rsid w:val="1E6254A5"/>
    <w:rsid w:val="21994B95"/>
    <w:rsid w:val="21A947A4"/>
    <w:rsid w:val="21E133B3"/>
    <w:rsid w:val="228309E5"/>
    <w:rsid w:val="22CD6502"/>
    <w:rsid w:val="235A280F"/>
    <w:rsid w:val="241B6B34"/>
    <w:rsid w:val="270F3098"/>
    <w:rsid w:val="278E5B47"/>
    <w:rsid w:val="279934EF"/>
    <w:rsid w:val="28034902"/>
    <w:rsid w:val="287776D3"/>
    <w:rsid w:val="288E20FA"/>
    <w:rsid w:val="289B1FE8"/>
    <w:rsid w:val="28E8097C"/>
    <w:rsid w:val="292212E3"/>
    <w:rsid w:val="299A2150"/>
    <w:rsid w:val="2A1B1FD5"/>
    <w:rsid w:val="2A53244F"/>
    <w:rsid w:val="2A680083"/>
    <w:rsid w:val="2B0B1584"/>
    <w:rsid w:val="2C477D91"/>
    <w:rsid w:val="2D281048"/>
    <w:rsid w:val="2D3F6350"/>
    <w:rsid w:val="2D4A106C"/>
    <w:rsid w:val="2D872B3B"/>
    <w:rsid w:val="2DAC7980"/>
    <w:rsid w:val="2E321639"/>
    <w:rsid w:val="2EA916EC"/>
    <w:rsid w:val="2ED76744"/>
    <w:rsid w:val="2F0C27F2"/>
    <w:rsid w:val="2F4405B8"/>
    <w:rsid w:val="30B50D8F"/>
    <w:rsid w:val="315A66A5"/>
    <w:rsid w:val="31C6070E"/>
    <w:rsid w:val="31CC39DF"/>
    <w:rsid w:val="34702764"/>
    <w:rsid w:val="354672A2"/>
    <w:rsid w:val="35C26267"/>
    <w:rsid w:val="35D42696"/>
    <w:rsid w:val="36107446"/>
    <w:rsid w:val="369D70D2"/>
    <w:rsid w:val="39FC2979"/>
    <w:rsid w:val="3A7F5E27"/>
    <w:rsid w:val="3AB765DF"/>
    <w:rsid w:val="3BC1546A"/>
    <w:rsid w:val="3C2C5AC6"/>
    <w:rsid w:val="3C9E3238"/>
    <w:rsid w:val="3CB007F8"/>
    <w:rsid w:val="3E2A7D12"/>
    <w:rsid w:val="3E7F4470"/>
    <w:rsid w:val="3EFE69D5"/>
    <w:rsid w:val="3F0264C5"/>
    <w:rsid w:val="41B6596F"/>
    <w:rsid w:val="42321ECB"/>
    <w:rsid w:val="425E573A"/>
    <w:rsid w:val="43820749"/>
    <w:rsid w:val="44C971D7"/>
    <w:rsid w:val="46155207"/>
    <w:rsid w:val="46963C00"/>
    <w:rsid w:val="46CC1167"/>
    <w:rsid w:val="46E3355B"/>
    <w:rsid w:val="47CC7918"/>
    <w:rsid w:val="485252D7"/>
    <w:rsid w:val="48917879"/>
    <w:rsid w:val="48AE6D76"/>
    <w:rsid w:val="48E23678"/>
    <w:rsid w:val="49E304C0"/>
    <w:rsid w:val="4A28619C"/>
    <w:rsid w:val="4A6F5EB7"/>
    <w:rsid w:val="4B5F25AA"/>
    <w:rsid w:val="4B7A38BA"/>
    <w:rsid w:val="4B7B027F"/>
    <w:rsid w:val="4BF97C0A"/>
    <w:rsid w:val="4C66259E"/>
    <w:rsid w:val="4C8B7CD6"/>
    <w:rsid w:val="4DBC6B0C"/>
    <w:rsid w:val="4EC45403"/>
    <w:rsid w:val="50073487"/>
    <w:rsid w:val="50DA5AB2"/>
    <w:rsid w:val="50E376B8"/>
    <w:rsid w:val="50FB41C7"/>
    <w:rsid w:val="51C001F1"/>
    <w:rsid w:val="523F226D"/>
    <w:rsid w:val="526F4FB0"/>
    <w:rsid w:val="52A93347"/>
    <w:rsid w:val="534D5537"/>
    <w:rsid w:val="53D02297"/>
    <w:rsid w:val="5509571B"/>
    <w:rsid w:val="56340201"/>
    <w:rsid w:val="569D147B"/>
    <w:rsid w:val="571B1496"/>
    <w:rsid w:val="57DC11F7"/>
    <w:rsid w:val="58070251"/>
    <w:rsid w:val="582160C5"/>
    <w:rsid w:val="58DD56E7"/>
    <w:rsid w:val="5A836713"/>
    <w:rsid w:val="5AF15C60"/>
    <w:rsid w:val="5B550CB6"/>
    <w:rsid w:val="5B9A7FF6"/>
    <w:rsid w:val="5BB406F0"/>
    <w:rsid w:val="5BBC35F7"/>
    <w:rsid w:val="5CCB33C5"/>
    <w:rsid w:val="5CCB689C"/>
    <w:rsid w:val="5D1279E8"/>
    <w:rsid w:val="5DFFE167"/>
    <w:rsid w:val="5E113C5D"/>
    <w:rsid w:val="5EFD27F0"/>
    <w:rsid w:val="5F9637B4"/>
    <w:rsid w:val="5F9C1BC7"/>
    <w:rsid w:val="5FED1CC3"/>
    <w:rsid w:val="603E4A2C"/>
    <w:rsid w:val="60E356C0"/>
    <w:rsid w:val="60EE6452"/>
    <w:rsid w:val="62BB6B5E"/>
    <w:rsid w:val="63476D9A"/>
    <w:rsid w:val="63511944"/>
    <w:rsid w:val="63705AE0"/>
    <w:rsid w:val="64CF1B21"/>
    <w:rsid w:val="65C21C5B"/>
    <w:rsid w:val="66DD0CEA"/>
    <w:rsid w:val="68460615"/>
    <w:rsid w:val="6BC06C3D"/>
    <w:rsid w:val="6BE56773"/>
    <w:rsid w:val="6BF608B1"/>
    <w:rsid w:val="6C224F66"/>
    <w:rsid w:val="6C563029"/>
    <w:rsid w:val="6CB63557"/>
    <w:rsid w:val="6D9A0134"/>
    <w:rsid w:val="6EE52FA7"/>
    <w:rsid w:val="6F65707F"/>
    <w:rsid w:val="6F855646"/>
    <w:rsid w:val="6FDE49B4"/>
    <w:rsid w:val="7007284F"/>
    <w:rsid w:val="72346AE1"/>
    <w:rsid w:val="73CF3EC1"/>
    <w:rsid w:val="74626AE3"/>
    <w:rsid w:val="76AF49A5"/>
    <w:rsid w:val="778D4F57"/>
    <w:rsid w:val="79181E82"/>
    <w:rsid w:val="79DF7EA5"/>
    <w:rsid w:val="7A6C3A13"/>
    <w:rsid w:val="7AE20C74"/>
    <w:rsid w:val="7AF507AA"/>
    <w:rsid w:val="7BC24069"/>
    <w:rsid w:val="7BC4519B"/>
    <w:rsid w:val="7BD77330"/>
    <w:rsid w:val="7C240B22"/>
    <w:rsid w:val="7C305AA4"/>
    <w:rsid w:val="7E4613FA"/>
    <w:rsid w:val="7E7D72E3"/>
    <w:rsid w:val="7E8D2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仿宋_GB2312" w:cstheme="minorBidi"/>
      <w:kern w:val="2"/>
      <w:sz w:val="32"/>
      <w:szCs w:val="24"/>
      <w:lang w:val="en-US" w:eastAsia="zh-CN" w:bidi="ar-SA"/>
    </w:rPr>
  </w:style>
  <w:style w:type="paragraph" w:styleId="3">
    <w:name w:val="heading 1"/>
    <w:basedOn w:val="1"/>
    <w:next w:val="1"/>
    <w:link w:val="37"/>
    <w:qFormat/>
    <w:uiPriority w:val="1"/>
    <w:pPr>
      <w:numPr>
        <w:ilvl w:val="0"/>
        <w:numId w:val="1"/>
      </w:numPr>
      <w:tabs>
        <w:tab w:val="left" w:pos="0"/>
      </w:tabs>
      <w:spacing w:before="100" w:beforeLines="100" w:after="100" w:afterLines="100"/>
      <w:ind w:firstLineChars="0"/>
      <w:jc w:val="center"/>
      <w:outlineLvl w:val="0"/>
    </w:pPr>
    <w:rPr>
      <w:rFonts w:ascii="Times New Roman" w:hAnsi="Times New Roman" w:eastAsia="黑体"/>
      <w:szCs w:val="32"/>
    </w:rPr>
  </w:style>
  <w:style w:type="paragraph" w:styleId="4">
    <w:name w:val="heading 2"/>
    <w:basedOn w:val="1"/>
    <w:next w:val="1"/>
    <w:link w:val="40"/>
    <w:unhideWhenUsed/>
    <w:qFormat/>
    <w:uiPriority w:val="0"/>
    <w:pPr>
      <w:numPr>
        <w:ilvl w:val="1"/>
        <w:numId w:val="1"/>
      </w:numPr>
      <w:spacing w:before="100" w:beforeLines="100" w:after="100" w:afterLines="100"/>
      <w:ind w:firstLineChars="0"/>
      <w:jc w:val="center"/>
      <w:outlineLvl w:val="1"/>
    </w:pPr>
    <w:rPr>
      <w:rFonts w:ascii="Times New Roman" w:hAnsi="Times New Roman" w:eastAsia="楷体_GB2312"/>
      <w:b/>
      <w:szCs w:val="28"/>
    </w:rPr>
  </w:style>
  <w:style w:type="paragraph" w:styleId="5">
    <w:name w:val="heading 3"/>
    <w:basedOn w:val="6"/>
    <w:next w:val="1"/>
    <w:link w:val="38"/>
    <w:unhideWhenUsed/>
    <w:qFormat/>
    <w:uiPriority w:val="0"/>
    <w:pPr>
      <w:numPr>
        <w:ilvl w:val="2"/>
        <w:numId w:val="1"/>
      </w:numPr>
      <w:tabs>
        <w:tab w:val="left" w:pos="312"/>
      </w:tabs>
      <w:spacing w:before="50" w:beforeLines="50" w:after="50" w:afterLines="50"/>
      <w:ind w:firstLine="400"/>
    </w:pPr>
  </w:style>
  <w:style w:type="paragraph" w:styleId="9">
    <w:name w:val="heading 4"/>
    <w:basedOn w:val="1"/>
    <w:next w:val="1"/>
    <w:link w:val="39"/>
    <w:unhideWhenUsed/>
    <w:qFormat/>
    <w:uiPriority w:val="0"/>
    <w:pPr>
      <w:numPr>
        <w:ilvl w:val="3"/>
        <w:numId w:val="2"/>
      </w:numPr>
      <w:ind w:firstLine="0" w:firstLineChars="0"/>
      <w:jc w:val="left"/>
      <w:outlineLvl w:val="3"/>
    </w:pPr>
    <w:rPr>
      <w:b/>
    </w:rPr>
  </w:style>
  <w:style w:type="paragraph" w:styleId="10">
    <w:name w:val="heading 5"/>
    <w:basedOn w:val="1"/>
    <w:next w:val="1"/>
    <w:link w:val="41"/>
    <w:unhideWhenUsed/>
    <w:qFormat/>
    <w:uiPriority w:val="0"/>
    <w:pPr>
      <w:keepNext/>
      <w:keepLines/>
      <w:numPr>
        <w:ilvl w:val="4"/>
        <w:numId w:val="2"/>
      </w:numPr>
      <w:ind w:firstLine="0" w:firstLineChars="0"/>
      <w:outlineLvl w:val="4"/>
    </w:pPr>
    <w:rPr>
      <w:b/>
      <w:bCs/>
      <w:szCs w:val="28"/>
    </w:rPr>
  </w:style>
  <w:style w:type="paragraph" w:styleId="11">
    <w:name w:val="heading 6"/>
    <w:basedOn w:val="1"/>
    <w:next w:val="1"/>
    <w:unhideWhenUsed/>
    <w:qFormat/>
    <w:uiPriority w:val="0"/>
    <w:pPr>
      <w:keepNext/>
      <w:keepLines/>
      <w:numPr>
        <w:ilvl w:val="5"/>
        <w:numId w:val="2"/>
      </w:numPr>
      <w:spacing w:before="240" w:after="64" w:line="317" w:lineRule="auto"/>
      <w:ind w:firstLine="0" w:firstLineChars="0"/>
      <w:outlineLvl w:val="5"/>
    </w:pPr>
    <w:rPr>
      <w:rFonts w:ascii="Arial" w:hAnsi="Arial" w:eastAsia="黑体"/>
      <w:b/>
      <w:sz w:val="24"/>
    </w:rPr>
  </w:style>
  <w:style w:type="paragraph" w:styleId="12">
    <w:name w:val="heading 7"/>
    <w:basedOn w:val="1"/>
    <w:next w:val="1"/>
    <w:unhideWhenUsed/>
    <w:qFormat/>
    <w:uiPriority w:val="0"/>
    <w:pPr>
      <w:keepNext/>
      <w:keepLines/>
      <w:numPr>
        <w:ilvl w:val="6"/>
        <w:numId w:val="2"/>
      </w:numPr>
      <w:spacing w:before="240" w:after="64" w:line="317" w:lineRule="auto"/>
      <w:ind w:firstLine="0" w:firstLineChars="0"/>
      <w:outlineLvl w:val="6"/>
    </w:pPr>
    <w:rPr>
      <w:b/>
      <w:sz w:val="24"/>
    </w:rPr>
  </w:style>
  <w:style w:type="paragraph" w:styleId="13">
    <w:name w:val="heading 8"/>
    <w:basedOn w:val="1"/>
    <w:next w:val="1"/>
    <w:unhideWhenUsed/>
    <w:qFormat/>
    <w:uiPriority w:val="0"/>
    <w:pPr>
      <w:keepNext/>
      <w:keepLines/>
      <w:numPr>
        <w:ilvl w:val="7"/>
        <w:numId w:val="2"/>
      </w:numPr>
      <w:spacing w:before="240" w:after="64" w:line="317" w:lineRule="auto"/>
      <w:ind w:firstLine="0" w:firstLineChars="0"/>
      <w:outlineLvl w:val="7"/>
    </w:pPr>
    <w:rPr>
      <w:rFonts w:ascii="Arial" w:hAnsi="Arial" w:eastAsia="黑体"/>
      <w:sz w:val="24"/>
    </w:rPr>
  </w:style>
  <w:style w:type="paragraph" w:styleId="14">
    <w:name w:val="heading 9"/>
    <w:basedOn w:val="1"/>
    <w:next w:val="1"/>
    <w:unhideWhenUsed/>
    <w:qFormat/>
    <w:uiPriority w:val="0"/>
    <w:pPr>
      <w:keepNext/>
      <w:keepLines/>
      <w:numPr>
        <w:ilvl w:val="8"/>
        <w:numId w:val="2"/>
      </w:numPr>
      <w:spacing w:before="240" w:after="64" w:line="317" w:lineRule="auto"/>
      <w:ind w:firstLine="0" w:firstLineChars="0"/>
      <w:outlineLvl w:val="8"/>
    </w:pPr>
    <w:rPr>
      <w:rFonts w:ascii="Arial" w:hAnsi="Arial" w:eastAsia="黑体"/>
      <w:sz w:val="21"/>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4"/>
    <w:qFormat/>
    <w:uiPriority w:val="1"/>
    <w:pPr>
      <w:spacing w:after="120"/>
    </w:pPr>
  </w:style>
  <w:style w:type="paragraph" w:customStyle="1" w:styleId="6">
    <w:name w:val="标题3"/>
    <w:basedOn w:val="7"/>
    <w:next w:val="1"/>
    <w:qFormat/>
    <w:uiPriority w:val="0"/>
    <w:pPr>
      <w:numPr>
        <w:ilvl w:val="0"/>
        <w:numId w:val="3"/>
      </w:numPr>
      <w:tabs>
        <w:tab w:val="left" w:pos="312"/>
      </w:tabs>
      <w:ind w:left="0" w:firstLine="400" w:firstLineChars="200"/>
      <w:jc w:val="both"/>
      <w:outlineLvl w:val="2"/>
    </w:pPr>
    <w:rPr>
      <w:rFonts w:eastAsia="仿宋_GB2312"/>
    </w:rPr>
  </w:style>
  <w:style w:type="paragraph" w:customStyle="1" w:styleId="7">
    <w:name w:val="标题2"/>
    <w:basedOn w:val="8"/>
    <w:next w:val="1"/>
    <w:qFormat/>
    <w:uiPriority w:val="0"/>
    <w:pPr>
      <w:outlineLvl w:val="1"/>
    </w:pPr>
    <w:rPr>
      <w:rFonts w:eastAsia="楷体_GB2312"/>
      <w:b/>
    </w:rPr>
  </w:style>
  <w:style w:type="paragraph" w:customStyle="1" w:styleId="8">
    <w:name w:val="标题1"/>
    <w:basedOn w:val="1"/>
    <w:next w:val="1"/>
    <w:qFormat/>
    <w:uiPriority w:val="0"/>
    <w:pPr>
      <w:spacing w:before="100" w:beforeLines="100" w:after="100" w:afterLines="100"/>
      <w:ind w:firstLine="0" w:firstLineChars="0"/>
      <w:jc w:val="center"/>
      <w:outlineLvl w:val="0"/>
    </w:pPr>
    <w:rPr>
      <w:rFonts w:eastAsia="黑体"/>
    </w:rPr>
  </w:style>
  <w:style w:type="paragraph" w:styleId="15">
    <w:name w:val="toc 7"/>
    <w:basedOn w:val="1"/>
    <w:next w:val="1"/>
    <w:unhideWhenUsed/>
    <w:qFormat/>
    <w:uiPriority w:val="39"/>
    <w:pPr>
      <w:ind w:left="1920"/>
      <w:jc w:val="left"/>
    </w:pPr>
    <w:rPr>
      <w:rFonts w:asciiTheme="minorHAnsi" w:hAnsiTheme="minorHAnsi" w:cstheme="minorHAnsi"/>
      <w:sz w:val="18"/>
      <w:szCs w:val="18"/>
    </w:rPr>
  </w:style>
  <w:style w:type="paragraph" w:styleId="16">
    <w:name w:val="annotation text"/>
    <w:basedOn w:val="1"/>
    <w:link w:val="43"/>
    <w:unhideWhenUsed/>
    <w:qFormat/>
    <w:uiPriority w:val="99"/>
    <w:pPr>
      <w:jc w:val="left"/>
    </w:pPr>
  </w:style>
  <w:style w:type="paragraph" w:styleId="17">
    <w:name w:val="Body Text Indent"/>
    <w:basedOn w:val="1"/>
    <w:next w:val="1"/>
    <w:qFormat/>
    <w:uiPriority w:val="0"/>
    <w:pPr>
      <w:spacing w:after="120"/>
    </w:pPr>
  </w:style>
  <w:style w:type="paragraph" w:styleId="18">
    <w:name w:val="toc 5"/>
    <w:basedOn w:val="1"/>
    <w:next w:val="1"/>
    <w:unhideWhenUsed/>
    <w:qFormat/>
    <w:uiPriority w:val="39"/>
    <w:pPr>
      <w:ind w:left="1280"/>
      <w:jc w:val="left"/>
    </w:pPr>
    <w:rPr>
      <w:rFonts w:asciiTheme="minorHAnsi" w:hAnsiTheme="minorHAnsi" w:cstheme="minorHAnsi"/>
      <w:sz w:val="18"/>
      <w:szCs w:val="18"/>
    </w:rPr>
  </w:style>
  <w:style w:type="paragraph" w:styleId="19">
    <w:name w:val="toc 3"/>
    <w:basedOn w:val="1"/>
    <w:next w:val="1"/>
    <w:qFormat/>
    <w:uiPriority w:val="39"/>
    <w:pPr>
      <w:ind w:left="640"/>
      <w:jc w:val="left"/>
    </w:pPr>
    <w:rPr>
      <w:rFonts w:asciiTheme="minorHAnsi" w:hAnsiTheme="minorHAnsi" w:cstheme="minorHAnsi"/>
      <w:i/>
      <w:iCs/>
      <w:sz w:val="20"/>
      <w:szCs w:val="20"/>
    </w:rPr>
  </w:style>
  <w:style w:type="paragraph" w:styleId="20">
    <w:name w:val="toc 8"/>
    <w:basedOn w:val="1"/>
    <w:next w:val="1"/>
    <w:unhideWhenUsed/>
    <w:qFormat/>
    <w:uiPriority w:val="39"/>
    <w:pPr>
      <w:ind w:left="2240"/>
      <w:jc w:val="left"/>
    </w:pPr>
    <w:rPr>
      <w:rFonts w:asciiTheme="minorHAnsi" w:hAnsiTheme="minorHAnsi" w:cstheme="minorHAnsi"/>
      <w:sz w:val="18"/>
      <w:szCs w:val="18"/>
    </w:rPr>
  </w:style>
  <w:style w:type="paragraph" w:styleId="21">
    <w:name w:val="Balloon Text"/>
    <w:basedOn w:val="1"/>
    <w:link w:val="45"/>
    <w:qFormat/>
    <w:uiPriority w:val="0"/>
    <w:pPr>
      <w:spacing w:line="240" w:lineRule="auto"/>
    </w:pPr>
    <w:rPr>
      <w:sz w:val="18"/>
      <w:szCs w:val="18"/>
    </w:rPr>
  </w:style>
  <w:style w:type="paragraph" w:styleId="22">
    <w:name w:val="footer"/>
    <w:basedOn w:val="1"/>
    <w:link w:val="60"/>
    <w:qFormat/>
    <w:uiPriority w:val="99"/>
    <w:pPr>
      <w:tabs>
        <w:tab w:val="center" w:pos="4153"/>
        <w:tab w:val="right" w:pos="8306"/>
      </w:tabs>
      <w:snapToGrid w:val="0"/>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4">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5">
    <w:name w:val="toc 4"/>
    <w:basedOn w:val="1"/>
    <w:next w:val="1"/>
    <w:unhideWhenUsed/>
    <w:qFormat/>
    <w:uiPriority w:val="39"/>
    <w:pPr>
      <w:ind w:left="960"/>
      <w:jc w:val="left"/>
    </w:pPr>
    <w:rPr>
      <w:rFonts w:asciiTheme="minorHAnsi" w:hAnsiTheme="minorHAnsi" w:cstheme="minorHAnsi"/>
      <w:sz w:val="18"/>
      <w:szCs w:val="18"/>
    </w:rPr>
  </w:style>
  <w:style w:type="paragraph" w:styleId="26">
    <w:name w:val="toc 6"/>
    <w:basedOn w:val="1"/>
    <w:next w:val="1"/>
    <w:unhideWhenUsed/>
    <w:qFormat/>
    <w:uiPriority w:val="39"/>
    <w:pPr>
      <w:ind w:left="1600"/>
      <w:jc w:val="left"/>
    </w:pPr>
    <w:rPr>
      <w:rFonts w:asciiTheme="minorHAnsi" w:hAnsiTheme="minorHAnsi" w:cstheme="minorHAnsi"/>
      <w:sz w:val="18"/>
      <w:szCs w:val="18"/>
    </w:rPr>
  </w:style>
  <w:style w:type="paragraph" w:styleId="27">
    <w:name w:val="toc 2"/>
    <w:basedOn w:val="1"/>
    <w:next w:val="1"/>
    <w:qFormat/>
    <w:uiPriority w:val="39"/>
    <w:pPr>
      <w:ind w:left="320"/>
      <w:jc w:val="left"/>
    </w:pPr>
    <w:rPr>
      <w:rFonts w:asciiTheme="minorHAnsi" w:hAnsiTheme="minorHAnsi" w:cstheme="minorHAnsi"/>
      <w:smallCaps/>
      <w:sz w:val="20"/>
      <w:szCs w:val="20"/>
    </w:rPr>
  </w:style>
  <w:style w:type="paragraph" w:styleId="28">
    <w:name w:val="toc 9"/>
    <w:basedOn w:val="1"/>
    <w:next w:val="1"/>
    <w:unhideWhenUsed/>
    <w:qFormat/>
    <w:uiPriority w:val="39"/>
    <w:pPr>
      <w:ind w:left="2560"/>
      <w:jc w:val="left"/>
    </w:pPr>
    <w:rPr>
      <w:rFonts w:asciiTheme="minorHAnsi" w:hAnsiTheme="minorHAnsi" w:cstheme="minorHAnsi"/>
      <w:sz w:val="18"/>
      <w:szCs w:val="18"/>
    </w:rPr>
  </w:style>
  <w:style w:type="paragraph" w:styleId="29">
    <w:name w:val="Normal (Web)"/>
    <w:basedOn w:val="1"/>
    <w:qFormat/>
    <w:uiPriority w:val="0"/>
    <w:pPr>
      <w:widowControl/>
      <w:spacing w:before="100" w:beforeAutospacing="1" w:after="100" w:afterAutospacing="1" w:line="240" w:lineRule="auto"/>
      <w:ind w:firstLine="0" w:firstLineChars="0"/>
      <w:jc w:val="left"/>
    </w:pPr>
    <w:rPr>
      <w:rFonts w:ascii="宋体" w:hAnsi="宋体" w:eastAsia="宋体"/>
      <w:kern w:val="0"/>
      <w:sz w:val="24"/>
    </w:rPr>
  </w:style>
  <w:style w:type="paragraph" w:styleId="30">
    <w:name w:val="annotation subject"/>
    <w:basedOn w:val="16"/>
    <w:next w:val="16"/>
    <w:link w:val="56"/>
    <w:qFormat/>
    <w:uiPriority w:val="0"/>
    <w:pPr>
      <w:spacing w:line="240" w:lineRule="auto"/>
      <w:ind w:firstLine="0" w:firstLineChars="0"/>
    </w:pPr>
    <w:rPr>
      <w:rFonts w:eastAsia="宋体" w:cs="Times New Roman"/>
      <w:b/>
      <w:bCs/>
      <w:sz w:val="21"/>
    </w:rPr>
  </w:style>
  <w:style w:type="paragraph" w:styleId="31">
    <w:name w:val="Body Text First Indent 2"/>
    <w:basedOn w:val="17"/>
    <w:qFormat/>
    <w:uiPriority w:val="0"/>
  </w:style>
  <w:style w:type="character" w:styleId="34">
    <w:name w:val="Strong"/>
    <w:basedOn w:val="33"/>
    <w:qFormat/>
    <w:uiPriority w:val="0"/>
    <w:rPr>
      <w:b/>
      <w:bCs/>
    </w:rPr>
  </w:style>
  <w:style w:type="character" w:styleId="35">
    <w:name w:val="Hyperlink"/>
    <w:basedOn w:val="33"/>
    <w:unhideWhenUsed/>
    <w:qFormat/>
    <w:uiPriority w:val="99"/>
    <w:rPr>
      <w:color w:val="0563C1" w:themeColor="hyperlink"/>
      <w:u w:val="single"/>
      <w14:textFill>
        <w14:solidFill>
          <w14:schemeClr w14:val="hlink"/>
        </w14:solidFill>
      </w14:textFill>
    </w:rPr>
  </w:style>
  <w:style w:type="character" w:styleId="36">
    <w:name w:val="annotation reference"/>
    <w:unhideWhenUsed/>
    <w:qFormat/>
    <w:uiPriority w:val="99"/>
    <w:rPr>
      <w:rFonts w:hint="default" w:ascii="Times New Roman" w:hAnsi="Times New Roman" w:cs="Times New Roman"/>
      <w:sz w:val="21"/>
      <w:szCs w:val="21"/>
    </w:rPr>
  </w:style>
  <w:style w:type="character" w:customStyle="1" w:styleId="37">
    <w:name w:val="标题 1 字符"/>
    <w:link w:val="3"/>
    <w:qFormat/>
    <w:uiPriority w:val="9"/>
    <w:rPr>
      <w:rFonts w:ascii="Times New Roman" w:hAnsi="Times New Roman" w:eastAsia="黑体" w:cs="仿宋"/>
      <w:sz w:val="32"/>
      <w:szCs w:val="32"/>
    </w:rPr>
  </w:style>
  <w:style w:type="character" w:customStyle="1" w:styleId="38">
    <w:name w:val="标题 3 字符"/>
    <w:link w:val="5"/>
    <w:qFormat/>
    <w:uiPriority w:val="0"/>
    <w:rPr>
      <w:rFonts w:ascii="Times New Roman" w:hAnsi="Times New Roman" w:eastAsia="仿宋_GB2312" w:cs="Times New Roman"/>
      <w:b/>
      <w:sz w:val="28"/>
      <w:szCs w:val="24"/>
    </w:rPr>
  </w:style>
  <w:style w:type="character" w:customStyle="1" w:styleId="39">
    <w:name w:val="标题 4 字符"/>
    <w:link w:val="9"/>
    <w:qFormat/>
    <w:uiPriority w:val="9"/>
    <w:rPr>
      <w:rFonts w:ascii="Times New Roman" w:hAnsi="Times New Roman" w:cs="Times New Roman"/>
      <w:b/>
      <w:sz w:val="28"/>
      <w:szCs w:val="24"/>
    </w:rPr>
  </w:style>
  <w:style w:type="character" w:customStyle="1" w:styleId="40">
    <w:name w:val="标题 2 字符"/>
    <w:link w:val="4"/>
    <w:qFormat/>
    <w:uiPriority w:val="0"/>
    <w:rPr>
      <w:rFonts w:ascii="Times New Roman" w:hAnsi="Times New Roman" w:eastAsia="楷体_GB2312" w:cstheme="minorBidi"/>
      <w:b/>
      <w:kern w:val="2"/>
      <w:sz w:val="32"/>
      <w:szCs w:val="28"/>
    </w:rPr>
  </w:style>
  <w:style w:type="character" w:customStyle="1" w:styleId="41">
    <w:name w:val="标题 5 字符"/>
    <w:link w:val="10"/>
    <w:semiHidden/>
    <w:qFormat/>
    <w:uiPriority w:val="9"/>
    <w:rPr>
      <w:rFonts w:ascii="Times New Roman" w:hAnsi="Times New Roman" w:cs="Times New Roman"/>
      <w:b/>
      <w:bCs/>
      <w:sz w:val="28"/>
      <w:szCs w:val="28"/>
    </w:rPr>
  </w:style>
  <w:style w:type="paragraph" w:customStyle="1" w:styleId="42">
    <w:name w:val="Heading4"/>
    <w:basedOn w:val="1"/>
    <w:next w:val="1"/>
    <w:qFormat/>
    <w:uiPriority w:val="0"/>
    <w:pPr>
      <w:keepNext/>
      <w:keepLines/>
      <w:spacing w:before="280" w:after="290" w:line="372" w:lineRule="auto"/>
      <w:textAlignment w:val="baseline"/>
    </w:pPr>
    <w:rPr>
      <w:rFonts w:ascii="Arial" w:hAnsi="Arial" w:eastAsia="黑体"/>
      <w:b/>
      <w:sz w:val="28"/>
    </w:rPr>
  </w:style>
  <w:style w:type="character" w:customStyle="1" w:styleId="43">
    <w:name w:val="批注文字 字符"/>
    <w:basedOn w:val="33"/>
    <w:link w:val="16"/>
    <w:semiHidden/>
    <w:qFormat/>
    <w:uiPriority w:val="99"/>
    <w:rPr>
      <w:rFonts w:eastAsia="仿宋_GB2312" w:cstheme="minorBidi"/>
      <w:kern w:val="2"/>
      <w:sz w:val="32"/>
      <w:szCs w:val="24"/>
    </w:rPr>
  </w:style>
  <w:style w:type="character" w:customStyle="1" w:styleId="44">
    <w:name w:val="正文文本 字符"/>
    <w:basedOn w:val="33"/>
    <w:link w:val="2"/>
    <w:qFormat/>
    <w:uiPriority w:val="0"/>
    <w:rPr>
      <w:kern w:val="2"/>
      <w:sz w:val="21"/>
      <w:szCs w:val="24"/>
    </w:rPr>
  </w:style>
  <w:style w:type="character" w:customStyle="1" w:styleId="45">
    <w:name w:val="批注框文本 字符"/>
    <w:basedOn w:val="33"/>
    <w:link w:val="21"/>
    <w:qFormat/>
    <w:uiPriority w:val="0"/>
    <w:rPr>
      <w:rFonts w:ascii="Times New Roman" w:hAnsi="Times New Roman" w:eastAsia="仿宋_GB2312"/>
      <w:kern w:val="2"/>
      <w:sz w:val="18"/>
      <w:szCs w:val="18"/>
    </w:rPr>
  </w:style>
  <w:style w:type="paragraph" w:customStyle="1" w:styleId="46">
    <w:name w:val="表格字体"/>
    <w:basedOn w:val="1"/>
    <w:qFormat/>
    <w:uiPriority w:val="0"/>
    <w:pPr>
      <w:widowControl/>
      <w:spacing w:line="240" w:lineRule="auto"/>
      <w:ind w:firstLine="0" w:firstLineChars="0"/>
      <w:jc w:val="center"/>
    </w:pPr>
    <w:rPr>
      <w:rFonts w:eastAsiaTheme="minorEastAsia"/>
      <w:sz w:val="21"/>
    </w:rPr>
  </w:style>
  <w:style w:type="paragraph" w:customStyle="1" w:styleId="47">
    <w:name w:val="zhangjie xiaobiaoti"/>
    <w:basedOn w:val="1"/>
    <w:next w:val="1"/>
    <w:link w:val="48"/>
    <w:qFormat/>
    <w:uiPriority w:val="0"/>
    <w:pPr>
      <w:numPr>
        <w:ilvl w:val="1"/>
        <w:numId w:val="4"/>
      </w:numPr>
      <w:spacing w:before="100" w:beforeLines="100" w:after="100" w:afterLines="100"/>
      <w:ind w:left="0" w:firstLine="0" w:firstLineChars="0"/>
      <w:jc w:val="left"/>
      <w:outlineLvl w:val="1"/>
    </w:pPr>
    <w:rPr>
      <w:rFonts w:eastAsia="楷体"/>
      <w:b/>
    </w:rPr>
  </w:style>
  <w:style w:type="character" w:customStyle="1" w:styleId="48">
    <w:name w:val="zhangjie xiaobiaoti Char"/>
    <w:link w:val="47"/>
    <w:qFormat/>
    <w:uiPriority w:val="0"/>
    <w:rPr>
      <w:rFonts w:ascii="Times New Roman" w:hAnsi="Times New Roman" w:eastAsia="楷体"/>
      <w:b/>
    </w:rPr>
  </w:style>
  <w:style w:type="paragraph" w:customStyle="1" w:styleId="49">
    <w:name w:val="ghxiaobiao"/>
    <w:basedOn w:val="1"/>
    <w:next w:val="50"/>
    <w:link w:val="51"/>
    <w:qFormat/>
    <w:uiPriority w:val="0"/>
    <w:pPr>
      <w:numPr>
        <w:ilvl w:val="0"/>
        <w:numId w:val="5"/>
      </w:numPr>
      <w:spacing w:before="120" w:after="120"/>
      <w:ind w:firstLine="640"/>
      <w:jc w:val="left"/>
      <w:outlineLvl w:val="2"/>
    </w:pPr>
    <w:rPr>
      <w:rFonts w:hint="eastAsia"/>
      <w:b/>
    </w:rPr>
  </w:style>
  <w:style w:type="paragraph" w:customStyle="1" w:styleId="50">
    <w:name w:val="guihuazhengwen"/>
    <w:basedOn w:val="1"/>
    <w:qFormat/>
    <w:uiPriority w:val="0"/>
  </w:style>
  <w:style w:type="character" w:customStyle="1" w:styleId="51">
    <w:name w:val="ghxiaobiao Char"/>
    <w:link w:val="49"/>
    <w:qFormat/>
    <w:uiPriority w:val="0"/>
    <w:rPr>
      <w:rFonts w:hint="eastAsia" w:eastAsia="仿宋_GB2312"/>
      <w:b/>
    </w:rPr>
  </w:style>
  <w:style w:type="paragraph" w:customStyle="1" w:styleId="52">
    <w:name w:val="列出段落1"/>
    <w:basedOn w:val="1"/>
    <w:qFormat/>
    <w:uiPriority w:val="0"/>
    <w:rPr>
      <w:szCs w:val="20"/>
    </w:rPr>
  </w:style>
  <w:style w:type="paragraph" w:customStyle="1" w:styleId="53">
    <w:name w:val="WPSOffice手动目录 1"/>
    <w:qFormat/>
    <w:uiPriority w:val="0"/>
    <w:rPr>
      <w:rFonts w:asciiTheme="minorHAnsi" w:hAnsiTheme="minorHAnsi" w:eastAsiaTheme="minorEastAsia" w:cstheme="minorBidi"/>
      <w:lang w:val="en-US" w:eastAsia="zh-CN" w:bidi="ar-SA"/>
    </w:rPr>
  </w:style>
  <w:style w:type="paragraph" w:customStyle="1" w:styleId="54">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55">
    <w:name w:val="WPSOffice手动目录 3"/>
    <w:qFormat/>
    <w:uiPriority w:val="0"/>
    <w:pPr>
      <w:ind w:left="400" w:leftChars="400"/>
    </w:pPr>
    <w:rPr>
      <w:rFonts w:asciiTheme="minorHAnsi" w:hAnsiTheme="minorHAnsi" w:eastAsiaTheme="minorEastAsia" w:cstheme="minorBidi"/>
      <w:lang w:val="en-US" w:eastAsia="zh-CN" w:bidi="ar-SA"/>
    </w:rPr>
  </w:style>
  <w:style w:type="character" w:customStyle="1" w:styleId="56">
    <w:name w:val="批注主题 字符"/>
    <w:basedOn w:val="43"/>
    <w:link w:val="30"/>
    <w:qFormat/>
    <w:uiPriority w:val="0"/>
    <w:rPr>
      <w:rFonts w:eastAsia="仿宋_GB2312" w:cstheme="minorBidi"/>
      <w:b/>
      <w:bCs/>
      <w:kern w:val="2"/>
      <w:sz w:val="21"/>
      <w:szCs w:val="24"/>
    </w:rPr>
  </w:style>
  <w:style w:type="paragraph" w:customStyle="1" w:styleId="57">
    <w:name w:val="列表段落1"/>
    <w:basedOn w:val="1"/>
    <w:qFormat/>
    <w:uiPriority w:val="1"/>
    <w:pPr>
      <w:ind w:firstLine="420"/>
    </w:pPr>
  </w:style>
  <w:style w:type="character" w:customStyle="1" w:styleId="58">
    <w:name w:val="未处理的提及1"/>
    <w:basedOn w:val="33"/>
    <w:unhideWhenUsed/>
    <w:qFormat/>
    <w:uiPriority w:val="99"/>
    <w:rPr>
      <w:color w:val="605E5C"/>
      <w:shd w:val="clear" w:color="auto" w:fill="E1DFDD"/>
    </w:rPr>
  </w:style>
  <w:style w:type="paragraph" w:customStyle="1" w:styleId="59">
    <w:name w:val="TOC 标题1"/>
    <w:basedOn w:val="3"/>
    <w:next w:val="1"/>
    <w:unhideWhenUsed/>
    <w:qFormat/>
    <w:uiPriority w:val="39"/>
    <w:pPr>
      <w:keepNext/>
      <w:keepLines/>
      <w:widowControl/>
      <w:numPr>
        <w:numId w:val="0"/>
      </w:numPr>
      <w:tabs>
        <w:tab w:val="clear" w:pos="0"/>
      </w:tabs>
      <w:spacing w:before="240" w:line="259" w:lineRule="auto"/>
      <w:jc w:val="left"/>
      <w:outlineLvl w:val="9"/>
    </w:pPr>
    <w:rPr>
      <w:rFonts w:asciiTheme="majorHAnsi" w:hAnsiTheme="majorHAnsi" w:eastAsiaTheme="majorEastAsia" w:cstheme="majorBidi"/>
      <w:color w:val="2E75B6" w:themeColor="accent1" w:themeShade="BF"/>
      <w:kern w:val="0"/>
    </w:rPr>
  </w:style>
  <w:style w:type="character" w:customStyle="1" w:styleId="60">
    <w:name w:val="页脚 字符"/>
    <w:basedOn w:val="33"/>
    <w:link w:val="22"/>
    <w:qFormat/>
    <w:uiPriority w:val="99"/>
    <w:rPr>
      <w:rFonts w:eastAsia="仿宋_GB2312" w:cstheme="minorBidi"/>
      <w:kern w:val="2"/>
      <w:sz w:val="18"/>
      <w:szCs w:val="24"/>
    </w:rPr>
  </w:style>
  <w:style w:type="paragraph" w:customStyle="1" w:styleId="61">
    <w:name w:val="Revision"/>
    <w:hidden/>
    <w:semiHidden/>
    <w:qFormat/>
    <w:uiPriority w:val="99"/>
    <w:rPr>
      <w:rFonts w:ascii="Times New Roman" w:hAnsi="Times New Roman" w:eastAsia="仿宋_GB2312" w:cstheme="minorBidi"/>
      <w:kern w:val="2"/>
      <w:sz w:val="32"/>
      <w:szCs w:val="24"/>
      <w:lang w:val="en-US" w:eastAsia="zh-CN" w:bidi="ar-SA"/>
    </w:rPr>
  </w:style>
  <w:style w:type="paragraph" w:customStyle="1" w:styleId="62">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4622-5368-4D32-96E2-30085CF68D52}">
  <ds:schemaRefs/>
</ds:datastoreItem>
</file>

<file path=docProps/app.xml><?xml version="1.0" encoding="utf-8"?>
<Properties xmlns="http://schemas.openxmlformats.org/officeDocument/2006/extended-properties" xmlns:vt="http://schemas.openxmlformats.org/officeDocument/2006/docPropsVTypes">
  <Template>Normal</Template>
  <Pages>55</Pages>
  <Words>5184</Words>
  <Characters>5428</Characters>
  <Lines>378</Lines>
  <Paragraphs>106</Paragraphs>
  <TotalTime>3</TotalTime>
  <ScaleCrop>false</ScaleCrop>
  <LinksUpToDate>false</LinksUpToDate>
  <CharactersWithSpaces>5682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2021-11-28T01:48:00Z</dcterms:created>
  <dc:creator>1201</dc:creator>
  <cp:lastModifiedBy>ala世界第一</cp:lastModifiedBy>
  <cp:lastPrinted>2021-11-28T01:51:00Z</cp:lastPrinted>
  <dcterms:modified xsi:type="dcterms:W3CDTF">2025-06-26T07:28:30Z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06400F5F132A4BF3B867273E18C8C7A3</vt:lpwstr>
  </property>
  <property fmtid="{D5CDD505-2E9C-101B-9397-08002B2CF9AE}" pid="4" name="KSOTemplateDocerSaveRecord">
    <vt:lpwstr>eyJoZGlkIjoiOWQxMjgwMWJmYjEyZTQ3MjZiYjE4M2Q4NWIxMzAwYTAiLCJ1c2VySWQiOiIzNzg5MjY1MzIifQ==</vt:lpwstr>
  </property>
</Properties>
</file>