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F999E3">
      <w:pPr>
        <w:keepNext w:val="0"/>
        <w:keepLines w:val="0"/>
        <w:pageBreakBefore w:val="0"/>
        <w:widowControl w:val="0"/>
        <w:kinsoku/>
        <w:wordWrap/>
        <w:overflowPunct/>
        <w:topLinePunct w:val="0"/>
        <w:autoSpaceDE/>
        <w:autoSpaceDN/>
        <w:bidi w:val="0"/>
        <w:adjustRightInd/>
        <w:snapToGrid/>
        <w:spacing w:before="0" w:beforeLines="0" w:after="0" w:afterLines="0" w:line="700" w:lineRule="exact"/>
        <w:ind w:left="0" w:leftChars="0" w:right="0" w:rightChars="0" w:firstLine="0" w:firstLineChars="0"/>
        <w:jc w:val="center"/>
        <w:textAlignment w:val="auto"/>
        <w:outlineLvl w:val="9"/>
        <w:rPr>
          <w:rFonts w:hint="eastAsia" w:ascii="方正小标宋简体" w:eastAsia="方正小标宋简体" w:cs="方正小标宋简体"/>
          <w:color w:val="auto"/>
          <w:kern w:val="0"/>
          <w:sz w:val="44"/>
          <w:szCs w:val="44"/>
          <w:lang w:val="zh-CN" w:eastAsia="zh-CN"/>
        </w:rPr>
      </w:pPr>
      <w:r>
        <w:rPr>
          <w:rFonts w:hint="eastAsia" w:ascii="方正小标宋简体" w:eastAsia="方正小标宋简体" w:cs="方正小标宋简体"/>
          <w:color w:val="auto"/>
          <w:kern w:val="0"/>
          <w:sz w:val="44"/>
          <w:szCs w:val="44"/>
          <w:lang w:val="zh-CN"/>
        </w:rPr>
        <w:t>呼伦贝尔市</w:t>
      </w:r>
      <w:r>
        <w:rPr>
          <w:rFonts w:hint="eastAsia" w:ascii="方正小标宋简体" w:eastAsia="方正小标宋简体" w:cs="方正小标宋简体"/>
          <w:color w:val="auto"/>
          <w:kern w:val="0"/>
          <w:sz w:val="44"/>
          <w:szCs w:val="44"/>
          <w:lang w:val="zh-CN" w:eastAsia="zh-CN"/>
        </w:rPr>
        <w:t>扎赉诺尔区</w:t>
      </w:r>
    </w:p>
    <w:p w14:paraId="6224F58B">
      <w:pPr>
        <w:keepNext w:val="0"/>
        <w:keepLines w:val="0"/>
        <w:pageBreakBefore w:val="0"/>
        <w:widowControl w:val="0"/>
        <w:kinsoku/>
        <w:wordWrap/>
        <w:overflowPunct/>
        <w:topLinePunct w:val="0"/>
        <w:autoSpaceDE/>
        <w:autoSpaceDN/>
        <w:bidi w:val="0"/>
        <w:adjustRightInd/>
        <w:snapToGrid/>
        <w:spacing w:before="0" w:beforeLines="0" w:after="0" w:afterLines="0" w:line="700" w:lineRule="exact"/>
        <w:ind w:left="0" w:leftChars="0" w:right="0" w:rightChars="0" w:firstLine="0" w:firstLineChars="0"/>
        <w:jc w:val="center"/>
        <w:textAlignment w:val="auto"/>
        <w:outlineLvl w:val="9"/>
        <w:rPr>
          <w:rFonts w:hint="eastAsia" w:ascii="方正小标宋简体" w:eastAsia="方正小标宋简体" w:cs="方正小标宋简体"/>
          <w:color w:val="auto"/>
          <w:kern w:val="0"/>
          <w:sz w:val="44"/>
          <w:szCs w:val="44"/>
          <w:lang w:val="zh-CN"/>
        </w:rPr>
      </w:pPr>
      <w:r>
        <w:rPr>
          <w:rFonts w:hint="eastAsia" w:ascii="方正小标宋简体" w:eastAsia="方正小标宋简体" w:cs="方正小标宋简体"/>
          <w:color w:val="auto"/>
          <w:kern w:val="0"/>
          <w:sz w:val="44"/>
          <w:szCs w:val="44"/>
          <w:lang w:val="zh-CN"/>
        </w:rPr>
        <w:t>食品安全事故应急预案（征求意见稿</w:t>
      </w:r>
      <w:bookmarkStart w:id="0" w:name="_GoBack"/>
      <w:bookmarkEnd w:id="0"/>
      <w:r>
        <w:rPr>
          <w:rFonts w:hint="eastAsia" w:ascii="方正小标宋简体" w:eastAsia="方正小标宋简体" w:cs="方正小标宋简体"/>
          <w:color w:val="auto"/>
          <w:kern w:val="0"/>
          <w:sz w:val="44"/>
          <w:szCs w:val="44"/>
          <w:lang w:val="zh-CN"/>
        </w:rPr>
        <w:t>）</w:t>
      </w:r>
    </w:p>
    <w:p w14:paraId="0627B365">
      <w:pPr>
        <w:spacing w:line="329" w:lineRule="auto"/>
        <w:rPr>
          <w:rFonts w:ascii="Arial"/>
          <w:sz w:val="21"/>
        </w:rPr>
      </w:pPr>
    </w:p>
    <w:p w14:paraId="0B222572">
      <w:pPr>
        <w:spacing w:line="330" w:lineRule="auto"/>
        <w:rPr>
          <w:rFonts w:ascii="Arial"/>
          <w:sz w:val="21"/>
        </w:rPr>
      </w:pPr>
    </w:p>
    <w:p w14:paraId="5D5FF622">
      <w:pPr>
        <w:spacing w:before="101" w:line="222" w:lineRule="auto"/>
        <w:ind w:left="4074"/>
        <w:rPr>
          <w:rFonts w:hint="eastAsia" w:ascii="黑体" w:hAnsi="黑体" w:eastAsia="黑体" w:cs="黑体"/>
          <w:b w:val="0"/>
          <w:bCs w:val="0"/>
          <w:sz w:val="32"/>
          <w:szCs w:val="32"/>
        </w:rPr>
      </w:pPr>
      <w:r>
        <w:rPr>
          <w:rFonts w:hint="eastAsia" w:ascii="黑体" w:hAnsi="黑体" w:eastAsia="黑体" w:cs="黑体"/>
          <w:b w:val="0"/>
          <w:bCs w:val="0"/>
          <w:spacing w:val="-29"/>
          <w:sz w:val="32"/>
          <w:szCs w:val="32"/>
        </w:rPr>
        <w:t>目</w:t>
      </w:r>
      <w:r>
        <w:rPr>
          <w:rFonts w:hint="eastAsia" w:ascii="黑体" w:hAnsi="黑体" w:eastAsia="黑体" w:cs="黑体"/>
          <w:b w:val="0"/>
          <w:bCs w:val="0"/>
          <w:spacing w:val="-29"/>
          <w:sz w:val="32"/>
          <w:szCs w:val="32"/>
          <w:lang w:val="en-US" w:eastAsia="zh-CN"/>
        </w:rPr>
        <w:t xml:space="preserve">   </w:t>
      </w:r>
      <w:r>
        <w:rPr>
          <w:rFonts w:hint="eastAsia" w:ascii="黑体" w:hAnsi="黑体" w:eastAsia="黑体" w:cs="黑体"/>
          <w:b w:val="0"/>
          <w:bCs w:val="0"/>
          <w:spacing w:val="-29"/>
          <w:sz w:val="32"/>
          <w:szCs w:val="32"/>
        </w:rPr>
        <w:t>录</w:t>
      </w:r>
    </w:p>
    <w:p w14:paraId="0A8A40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rPr>
        <w:t>1.总</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则</w:t>
      </w:r>
      <w:r>
        <w:rPr>
          <w:rFonts w:hint="eastAsia" w:ascii="黑体" w:hAnsi="黑体" w:eastAsia="黑体" w:cs="黑体"/>
          <w:sz w:val="32"/>
          <w:szCs w:val="32"/>
          <w:lang w:eastAsia="zh-CN"/>
        </w:rPr>
        <w:tab/>
      </w:r>
    </w:p>
    <w:p w14:paraId="502942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1.1编制目的</w:t>
      </w:r>
    </w:p>
    <w:p w14:paraId="7E3AA4F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1.2编制依据</w:t>
      </w:r>
    </w:p>
    <w:p w14:paraId="4DB1EA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1.3事故分级</w:t>
      </w:r>
    </w:p>
    <w:p w14:paraId="0C1E32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1.4适用范围</w:t>
      </w:r>
    </w:p>
    <w:p w14:paraId="5BFF76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1.5处置原则</w:t>
      </w:r>
    </w:p>
    <w:p w14:paraId="386741C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2.组织机构及职责</w:t>
      </w:r>
    </w:p>
    <w:p w14:paraId="1D6E99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2.1应急指挥部设置</w:t>
      </w:r>
    </w:p>
    <w:p w14:paraId="03EBE99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2.2应急指挥部职责</w:t>
      </w:r>
    </w:p>
    <w:p w14:paraId="698F47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2.3应急机制启动</w:t>
      </w:r>
    </w:p>
    <w:p w14:paraId="11589D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2.4应急指挥部办公室职责</w:t>
      </w:r>
    </w:p>
    <w:p w14:paraId="631A87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2.5成员单位职责</w:t>
      </w:r>
    </w:p>
    <w:p w14:paraId="7BC665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2.6应急指挥部各工作组设置及职责</w:t>
      </w:r>
    </w:p>
    <w:p w14:paraId="17D023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3.监测预警、报告与评估</w:t>
      </w:r>
    </w:p>
    <w:p w14:paraId="09DD69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3.1监测预警</w:t>
      </w:r>
    </w:p>
    <w:p w14:paraId="362C89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3.2事故报告</w:t>
      </w:r>
    </w:p>
    <w:p w14:paraId="0352FB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3.3事故评估</w:t>
      </w:r>
    </w:p>
    <w:p w14:paraId="1E5EF6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4.</w:t>
      </w:r>
      <w:r>
        <w:rPr>
          <w:rFonts w:hint="eastAsia" w:ascii="黑体" w:hAnsi="黑体" w:eastAsia="黑体" w:cs="黑体"/>
          <w:sz w:val="32"/>
          <w:szCs w:val="32"/>
        </w:rPr>
        <w:t>应急响应</w:t>
      </w:r>
    </w:p>
    <w:p w14:paraId="2719F8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4.1先期处置</w:t>
      </w:r>
    </w:p>
    <w:p w14:paraId="48DF71A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4.2应急响应</w:t>
      </w:r>
    </w:p>
    <w:p w14:paraId="17FD46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4.3检测分析评估</w:t>
      </w:r>
    </w:p>
    <w:p w14:paraId="63A6D3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4.4响应级别调整及终止</w:t>
      </w:r>
    </w:p>
    <w:p w14:paraId="6A942DD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4.5信息发布</w:t>
      </w:r>
    </w:p>
    <w:p w14:paraId="597C4A6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5.后期处置</w:t>
      </w:r>
    </w:p>
    <w:p w14:paraId="6A18E34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5.1善后处置</w:t>
      </w:r>
    </w:p>
    <w:p w14:paraId="163221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5.2奖惩</w:t>
      </w:r>
    </w:p>
    <w:p w14:paraId="526653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5.3总结评估</w:t>
      </w:r>
    </w:p>
    <w:p w14:paraId="1AB066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6.应急保障</w:t>
      </w:r>
    </w:p>
    <w:p w14:paraId="3AEA6C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6.1人员保障</w:t>
      </w:r>
    </w:p>
    <w:p w14:paraId="2A6D23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6.2技术保障</w:t>
      </w:r>
    </w:p>
    <w:p w14:paraId="2A44E6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6.3信息保障</w:t>
      </w:r>
    </w:p>
    <w:p w14:paraId="1D114B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6.4医疗保障</w:t>
      </w:r>
    </w:p>
    <w:p w14:paraId="580C5B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6.5物资与经费保障</w:t>
      </w:r>
    </w:p>
    <w:p w14:paraId="17C9A24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6.6社会动员保障</w:t>
      </w:r>
    </w:p>
    <w:p w14:paraId="216E4F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6.7宣教培训保障</w:t>
      </w:r>
    </w:p>
    <w:p w14:paraId="5FC419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6.8场所控制及治安保障</w:t>
      </w:r>
    </w:p>
    <w:p w14:paraId="06D2CE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6.9交通运输保障</w:t>
      </w:r>
    </w:p>
    <w:p w14:paraId="5CB0DD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7.附则</w:t>
      </w:r>
    </w:p>
    <w:p w14:paraId="751037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7.1预案管理</w:t>
      </w:r>
    </w:p>
    <w:p w14:paraId="64C974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7.2预案演练</w:t>
      </w:r>
    </w:p>
    <w:p w14:paraId="5813E4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7.3制定与解释</w:t>
      </w:r>
    </w:p>
    <w:p w14:paraId="59C05E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7.4预案实施</w:t>
      </w:r>
    </w:p>
    <w:p w14:paraId="398BE095">
      <w:pPr>
        <w:rPr>
          <w:rFonts w:hint="eastAsia" w:ascii="黑体" w:hAnsi="黑体" w:eastAsia="黑体" w:cs="黑体"/>
          <w:b w:val="0"/>
          <w:bCs w:val="0"/>
          <w:sz w:val="32"/>
          <w:szCs w:val="32"/>
        </w:rPr>
      </w:pPr>
      <w:r>
        <w:rPr>
          <w:rFonts w:hint="eastAsia" w:ascii="黑体" w:hAnsi="黑体" w:eastAsia="黑体" w:cs="黑体"/>
          <w:b w:val="0"/>
          <w:bCs w:val="0"/>
          <w:sz w:val="32"/>
          <w:szCs w:val="32"/>
        </w:rPr>
        <w:br w:type="page"/>
      </w:r>
    </w:p>
    <w:p w14:paraId="34A444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1.总则</w:t>
      </w:r>
    </w:p>
    <w:p w14:paraId="1A7129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1.1编制目的</w:t>
      </w:r>
    </w:p>
    <w:p w14:paraId="78A4CC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坚持以习近平新时代中国特色社会主义思想为指导，落实食品安全“四个最严”，构建预防为主、风险管理，全程控制，社会共治的食品安全治理体系</w:t>
      </w:r>
      <w:r>
        <w:rPr>
          <w:rFonts w:hint="eastAsia" w:ascii="仿宋" w:hAnsi="仿宋" w:eastAsia="仿宋" w:cs="仿宋"/>
          <w:sz w:val="32"/>
          <w:szCs w:val="32"/>
          <w:lang w:eastAsia="zh-CN"/>
        </w:rPr>
        <w:t>。</w:t>
      </w:r>
      <w:r>
        <w:rPr>
          <w:rFonts w:hint="eastAsia" w:ascii="仿宋" w:hAnsi="仿宋" w:eastAsia="仿宋" w:cs="仿宋"/>
          <w:sz w:val="32"/>
          <w:szCs w:val="32"/>
        </w:rPr>
        <w:t>建立健全食品安全事故应急处置机制，提高食品安全事故应急处置能力，确保食品安全事故应对积极有效，处置规范高效，最大限度地降低食品安全事故造成的损害和影响，切实保障公众身体健康与生命安全，维护社会和谐稳定，促进经济平稳发展。</w:t>
      </w:r>
    </w:p>
    <w:p w14:paraId="6C9505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1.2编制依据</w:t>
      </w:r>
    </w:p>
    <w:p w14:paraId="65D4A7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依据《中华人民共和国突发事件应对法》《中华人民共和国食品安全法》《中华人民共和国农产品质量安全法》《中华人民共和国食品安全法实施条例》《地方党政领导干部食品安全责任制规定》《国家食品安全事故应急预案》和《内蒙古自治区突发事件总体应急预案</w:t>
      </w:r>
      <w:r>
        <w:rPr>
          <w:rFonts w:hint="eastAsia" w:ascii="仿宋" w:hAnsi="仿宋" w:eastAsia="仿宋" w:cs="仿宋"/>
          <w:sz w:val="32"/>
          <w:szCs w:val="32"/>
          <w:lang w:eastAsia="zh-CN"/>
        </w:rPr>
        <w:t>（</w:t>
      </w:r>
      <w:r>
        <w:rPr>
          <w:rFonts w:hint="eastAsia" w:ascii="仿宋" w:hAnsi="仿宋" w:eastAsia="仿宋" w:cs="仿宋"/>
          <w:sz w:val="32"/>
          <w:szCs w:val="32"/>
        </w:rPr>
        <w:t>试行</w:t>
      </w:r>
      <w:r>
        <w:rPr>
          <w:rFonts w:hint="eastAsia" w:ascii="仿宋" w:hAnsi="仿宋" w:eastAsia="仿宋" w:cs="仿宋"/>
          <w:sz w:val="32"/>
          <w:szCs w:val="32"/>
          <w:lang w:eastAsia="zh-CN"/>
        </w:rPr>
        <w:t>）</w:t>
      </w:r>
      <w:r>
        <w:rPr>
          <w:rFonts w:hint="eastAsia" w:ascii="仿宋" w:hAnsi="仿宋" w:eastAsia="仿宋" w:cs="仿宋"/>
          <w:sz w:val="32"/>
          <w:szCs w:val="32"/>
        </w:rPr>
        <w:t>》《内蒙古自治区食品安全重大事故应急预案》《呼伦贝尔市突发事件总体应急预案</w:t>
      </w:r>
      <w:r>
        <w:rPr>
          <w:rFonts w:hint="eastAsia" w:ascii="仿宋" w:hAnsi="仿宋" w:eastAsia="仿宋" w:cs="仿宋"/>
          <w:sz w:val="32"/>
          <w:szCs w:val="32"/>
          <w:lang w:eastAsia="zh-CN"/>
        </w:rPr>
        <w:t>（</w:t>
      </w:r>
      <w:r>
        <w:rPr>
          <w:rFonts w:hint="eastAsia" w:ascii="仿宋" w:hAnsi="仿宋" w:eastAsia="仿宋" w:cs="仿宋"/>
          <w:sz w:val="32"/>
          <w:szCs w:val="32"/>
        </w:rPr>
        <w:t>试行</w:t>
      </w:r>
      <w:r>
        <w:rPr>
          <w:rFonts w:hint="eastAsia" w:ascii="仿宋" w:hAnsi="仿宋" w:eastAsia="仿宋" w:cs="仿宋"/>
          <w:sz w:val="32"/>
          <w:szCs w:val="32"/>
          <w:lang w:eastAsia="zh-CN"/>
        </w:rPr>
        <w:t>）</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rPr>
        <w:t>呼伦贝尔市食品安全事故应急预案</w:t>
      </w:r>
      <w:r>
        <w:rPr>
          <w:rFonts w:hint="eastAsia" w:ascii="仿宋" w:hAnsi="仿宋" w:eastAsia="仿宋" w:cs="仿宋"/>
          <w:sz w:val="32"/>
          <w:szCs w:val="32"/>
          <w:lang w:eastAsia="zh-CN"/>
        </w:rPr>
        <w:t>》</w:t>
      </w:r>
      <w:r>
        <w:rPr>
          <w:rFonts w:hint="eastAsia" w:ascii="仿宋" w:hAnsi="仿宋" w:eastAsia="仿宋" w:cs="仿宋"/>
          <w:sz w:val="32"/>
          <w:szCs w:val="32"/>
        </w:rPr>
        <w:t>等法律法规及文件，编制本预案。</w:t>
      </w:r>
    </w:p>
    <w:p w14:paraId="00FC4A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1.3事故分级</w:t>
      </w:r>
    </w:p>
    <w:p w14:paraId="5AF253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食品安全事故按照事故性质、危害程度和影响范围，分为一般食品安全事故、较大食品安全事故、重大食品安全事故、特别重大食品安全事故四个级别</w:t>
      </w:r>
      <w:r>
        <w:rPr>
          <w:rFonts w:hint="eastAsia" w:ascii="仿宋" w:hAnsi="仿宋" w:eastAsia="仿宋" w:cs="仿宋"/>
          <w:sz w:val="32"/>
          <w:szCs w:val="32"/>
          <w:lang w:eastAsia="zh-CN"/>
        </w:rPr>
        <w:t>（</w:t>
      </w:r>
      <w:r>
        <w:rPr>
          <w:rFonts w:hint="eastAsia" w:ascii="仿宋" w:hAnsi="仿宋" w:eastAsia="仿宋" w:cs="仿宋"/>
          <w:sz w:val="32"/>
          <w:szCs w:val="32"/>
        </w:rPr>
        <w:t>分级标准和响应规定见附件1</w:t>
      </w:r>
      <w:r>
        <w:rPr>
          <w:rFonts w:hint="eastAsia" w:ascii="仿宋" w:hAnsi="仿宋" w:eastAsia="仿宋" w:cs="仿宋"/>
          <w:sz w:val="32"/>
          <w:szCs w:val="32"/>
          <w:lang w:eastAsia="zh-CN"/>
        </w:rPr>
        <w:t>）</w:t>
      </w:r>
      <w:r>
        <w:rPr>
          <w:rFonts w:hint="eastAsia" w:ascii="仿宋" w:hAnsi="仿宋" w:eastAsia="仿宋" w:cs="仿宋"/>
          <w:sz w:val="32"/>
          <w:szCs w:val="32"/>
        </w:rPr>
        <w:t>。国家食品安全专项应急预案分级标准修订时从其新标准。</w:t>
      </w:r>
    </w:p>
    <w:p w14:paraId="5DA2DBE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1.4适用范围</w:t>
      </w:r>
    </w:p>
    <w:p w14:paraId="18051F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本预案适用于</w:t>
      </w:r>
      <w:r>
        <w:rPr>
          <w:rFonts w:hint="eastAsia" w:ascii="仿宋" w:hAnsi="仿宋" w:eastAsia="仿宋" w:cs="仿宋"/>
          <w:sz w:val="32"/>
          <w:szCs w:val="32"/>
          <w:lang w:eastAsia="zh-CN"/>
        </w:rPr>
        <w:t>扎赉诺尔区</w:t>
      </w:r>
      <w:r>
        <w:rPr>
          <w:rFonts w:hint="eastAsia" w:ascii="仿宋" w:hAnsi="仿宋" w:eastAsia="仿宋" w:cs="仿宋"/>
          <w:sz w:val="32"/>
          <w:szCs w:val="32"/>
        </w:rPr>
        <w:t>范围内食品安全事故的预防及</w:t>
      </w:r>
      <w:r>
        <w:rPr>
          <w:rFonts w:hint="eastAsia" w:ascii="仿宋" w:hAnsi="仿宋" w:eastAsia="仿宋" w:cs="仿宋"/>
          <w:sz w:val="32"/>
          <w:szCs w:val="32"/>
          <w:lang w:eastAsia="zh-CN"/>
        </w:rPr>
        <w:t>应</w:t>
      </w:r>
      <w:r>
        <w:rPr>
          <w:rFonts w:hint="eastAsia" w:ascii="仿宋" w:hAnsi="仿宋" w:eastAsia="仿宋" w:cs="仿宋"/>
          <w:sz w:val="32"/>
          <w:szCs w:val="32"/>
        </w:rPr>
        <w:t>对处置工作。食源性疾病中涉及传染病疫情的，按照《中华人</w:t>
      </w:r>
      <w:r>
        <w:rPr>
          <w:rFonts w:hint="eastAsia" w:ascii="仿宋" w:hAnsi="仿宋" w:eastAsia="仿宋" w:cs="仿宋"/>
          <w:sz w:val="32"/>
          <w:szCs w:val="32"/>
          <w:lang w:eastAsia="zh-CN"/>
        </w:rPr>
        <w:t>民</w:t>
      </w:r>
      <w:r>
        <w:rPr>
          <w:rFonts w:hint="eastAsia" w:ascii="仿宋" w:hAnsi="仿宋" w:eastAsia="仿宋" w:cs="仿宋"/>
          <w:sz w:val="32"/>
          <w:szCs w:val="32"/>
        </w:rPr>
        <w:t>共和国传染病防治法》《国家突发公共卫生事件应急预案》《内蒙古自治区突发事件总体应急预案</w:t>
      </w:r>
      <w:r>
        <w:rPr>
          <w:rFonts w:hint="eastAsia" w:ascii="仿宋" w:hAnsi="仿宋" w:eastAsia="仿宋" w:cs="仿宋"/>
          <w:sz w:val="32"/>
          <w:szCs w:val="32"/>
          <w:lang w:eastAsia="zh-CN"/>
        </w:rPr>
        <w:t>（</w:t>
      </w:r>
      <w:r>
        <w:rPr>
          <w:rFonts w:hint="eastAsia" w:ascii="仿宋" w:hAnsi="仿宋" w:eastAsia="仿宋" w:cs="仿宋"/>
          <w:sz w:val="32"/>
          <w:szCs w:val="32"/>
        </w:rPr>
        <w:t>试行</w:t>
      </w:r>
      <w:r>
        <w:rPr>
          <w:rFonts w:hint="eastAsia" w:ascii="仿宋" w:hAnsi="仿宋" w:eastAsia="仿宋" w:cs="仿宋"/>
          <w:sz w:val="32"/>
          <w:szCs w:val="32"/>
          <w:lang w:eastAsia="zh-CN"/>
        </w:rPr>
        <w:t>）</w:t>
      </w:r>
      <w:r>
        <w:rPr>
          <w:rFonts w:hint="eastAsia" w:ascii="仿宋" w:hAnsi="仿宋" w:eastAsia="仿宋" w:cs="仿宋"/>
          <w:sz w:val="32"/>
          <w:szCs w:val="32"/>
        </w:rPr>
        <w:t>》《内蒙古自治区突发公共事件医疗卫生救援应急预案》等相关规定开展疫情控制和应急处置。民航、铁路、海关等领域发生的食品安全事故按各自法定分工执行。</w:t>
      </w:r>
    </w:p>
    <w:p w14:paraId="71F62A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1.5处置原则</w:t>
      </w:r>
    </w:p>
    <w:p w14:paraId="6D6E69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1.5.1坚持以人为本、生命至上。把保障公众健康和生命安全作为应急处置的首要任务，最大程度降低食品安全风险，最大限度减少食品安全事故造成的危害。</w:t>
      </w:r>
    </w:p>
    <w:p w14:paraId="3287F9E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1.5.2坚持统一领导、分级负责。按照“统一领导、综合协调、分级负责、属地管理”的管理原则，建立快速反应、协同应对的食品安全事故应急机制。</w:t>
      </w:r>
    </w:p>
    <w:p w14:paraId="061971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1.5.3坚持科学评估、</w:t>
      </w:r>
      <w:r>
        <w:rPr>
          <w:rFonts w:hint="eastAsia" w:ascii="仿宋" w:hAnsi="仿宋" w:eastAsia="仿宋" w:cs="仿宋"/>
          <w:sz w:val="32"/>
          <w:szCs w:val="32"/>
          <w:lang w:eastAsia="zh-CN"/>
        </w:rPr>
        <w:t>依法处置</w:t>
      </w:r>
      <w:r>
        <w:rPr>
          <w:rFonts w:hint="eastAsia" w:ascii="仿宋" w:hAnsi="仿宋" w:eastAsia="仿宋" w:cs="仿宋"/>
          <w:sz w:val="32"/>
          <w:szCs w:val="32"/>
        </w:rPr>
        <w:t>。有效使用食品安全风险监测、评估和预警等科学手段；充分发挥专业队伍的作用，提高应对食品安全事故的水平和能力。</w:t>
      </w:r>
    </w:p>
    <w:p w14:paraId="38BC04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1.5.4坚持居安思危、预防为主。坚持预防与应急相结合，常态与非常态相结合，加强监督检查和舆情监测，严密排查风险隐患，做好应急准备，落实各项防范措施，防患于未然。</w:t>
      </w:r>
    </w:p>
    <w:p w14:paraId="54D7092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2.组织机构及职责</w:t>
      </w:r>
    </w:p>
    <w:p w14:paraId="33AAE2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2.1应急指挥部设置</w:t>
      </w:r>
    </w:p>
    <w:p w14:paraId="7E4F630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yellow"/>
        </w:rPr>
      </w:pPr>
      <w:r>
        <w:rPr>
          <w:rFonts w:hint="eastAsia" w:ascii="仿宋" w:hAnsi="仿宋" w:eastAsia="仿宋" w:cs="仿宋"/>
          <w:sz w:val="32"/>
          <w:szCs w:val="32"/>
          <w:lang w:eastAsia="zh-CN"/>
        </w:rPr>
        <w:t>扎赉诺尔区</w:t>
      </w:r>
      <w:r>
        <w:rPr>
          <w:rFonts w:hint="eastAsia" w:ascii="仿宋" w:hAnsi="仿宋" w:eastAsia="仿宋" w:cs="仿宋"/>
          <w:sz w:val="32"/>
          <w:szCs w:val="32"/>
        </w:rPr>
        <w:t>食品安全事故应急指挥部总指挥由</w:t>
      </w:r>
      <w:r>
        <w:rPr>
          <w:rFonts w:hint="eastAsia" w:ascii="仿宋" w:hAnsi="仿宋" w:eastAsia="仿宋" w:cs="仿宋"/>
          <w:sz w:val="32"/>
          <w:szCs w:val="32"/>
          <w:lang w:eastAsia="zh-CN"/>
        </w:rPr>
        <w:t>区</w:t>
      </w:r>
      <w:r>
        <w:rPr>
          <w:rFonts w:hint="eastAsia" w:ascii="仿宋" w:hAnsi="仿宋" w:eastAsia="仿宋" w:cs="仿宋"/>
          <w:sz w:val="32"/>
          <w:szCs w:val="32"/>
        </w:rPr>
        <w:t>政府</w:t>
      </w:r>
      <w:r>
        <w:rPr>
          <w:rFonts w:hint="eastAsia" w:ascii="仿宋" w:hAnsi="仿宋" w:eastAsia="仿宋" w:cs="仿宋"/>
          <w:sz w:val="32"/>
          <w:szCs w:val="32"/>
          <w:lang w:eastAsia="zh-CN"/>
        </w:rPr>
        <w:t>主要</w:t>
      </w:r>
      <w:r>
        <w:rPr>
          <w:rFonts w:hint="eastAsia" w:ascii="仿宋" w:hAnsi="仿宋" w:eastAsia="仿宋" w:cs="仿宋"/>
          <w:sz w:val="32"/>
          <w:szCs w:val="32"/>
        </w:rPr>
        <w:t>领导同志担任，</w:t>
      </w:r>
      <w:r>
        <w:rPr>
          <w:rFonts w:hint="eastAsia" w:ascii="仿宋" w:hAnsi="仿宋" w:eastAsia="仿宋" w:cs="仿宋"/>
          <w:sz w:val="32"/>
          <w:szCs w:val="32"/>
          <w:lang w:eastAsia="zh-CN"/>
        </w:rPr>
        <w:t>区</w:t>
      </w:r>
      <w:r>
        <w:rPr>
          <w:rFonts w:hint="eastAsia" w:ascii="仿宋" w:hAnsi="仿宋" w:eastAsia="仿宋" w:cs="仿宋"/>
          <w:sz w:val="32"/>
          <w:szCs w:val="32"/>
        </w:rPr>
        <w:t>相关单位</w:t>
      </w:r>
      <w:r>
        <w:rPr>
          <w:rFonts w:hint="eastAsia" w:ascii="仿宋" w:hAnsi="仿宋" w:eastAsia="仿宋" w:cs="仿宋"/>
          <w:sz w:val="32"/>
          <w:szCs w:val="32"/>
          <w:lang w:eastAsia="zh-CN"/>
        </w:rPr>
        <w:t>主要</w:t>
      </w:r>
      <w:r>
        <w:rPr>
          <w:rFonts w:hint="eastAsia" w:ascii="仿宋" w:hAnsi="仿宋" w:eastAsia="仿宋" w:cs="仿宋"/>
          <w:sz w:val="32"/>
          <w:szCs w:val="32"/>
        </w:rPr>
        <w:t>领导为成员。</w:t>
      </w:r>
      <w:r>
        <w:rPr>
          <w:rFonts w:hint="eastAsia" w:ascii="仿宋" w:hAnsi="仿宋" w:eastAsia="仿宋" w:cs="仿宋"/>
          <w:sz w:val="32"/>
          <w:szCs w:val="32"/>
          <w:highlight w:val="none"/>
        </w:rPr>
        <w:t>指挥部成员单位包括</w:t>
      </w:r>
      <w:r>
        <w:rPr>
          <w:rFonts w:hint="eastAsia" w:ascii="仿宋" w:hAnsi="仿宋" w:eastAsia="仿宋" w:cs="仿宋"/>
          <w:sz w:val="32"/>
          <w:szCs w:val="32"/>
          <w:highlight w:val="none"/>
          <w:lang w:eastAsia="zh-CN"/>
        </w:rPr>
        <w:t>区</w:t>
      </w:r>
      <w:r>
        <w:rPr>
          <w:rFonts w:hint="eastAsia" w:ascii="仿宋" w:hAnsi="仿宋" w:eastAsia="仿宋" w:cs="仿宋"/>
          <w:sz w:val="32"/>
          <w:szCs w:val="32"/>
          <w:highlight w:val="none"/>
        </w:rPr>
        <w:t>市场</w:t>
      </w:r>
      <w:r>
        <w:rPr>
          <w:rFonts w:hint="eastAsia" w:ascii="仿宋" w:hAnsi="仿宋" w:eastAsia="仿宋" w:cs="仿宋"/>
          <w:sz w:val="32"/>
          <w:szCs w:val="32"/>
          <w:highlight w:val="none"/>
          <w:lang w:eastAsia="zh-CN"/>
        </w:rPr>
        <w:t>监督管理</w:t>
      </w:r>
      <w:r>
        <w:rPr>
          <w:rFonts w:hint="eastAsia" w:ascii="仿宋" w:hAnsi="仿宋" w:eastAsia="仿宋" w:cs="仿宋"/>
          <w:sz w:val="32"/>
          <w:szCs w:val="32"/>
          <w:highlight w:val="none"/>
        </w:rPr>
        <w:t>局</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卫健委、农牧</w:t>
      </w:r>
      <w:r>
        <w:rPr>
          <w:rFonts w:hint="eastAsia" w:ascii="仿宋" w:hAnsi="仿宋" w:eastAsia="仿宋" w:cs="仿宋"/>
          <w:sz w:val="32"/>
          <w:szCs w:val="32"/>
          <w:highlight w:val="none"/>
          <w:lang w:eastAsia="zh-CN"/>
        </w:rPr>
        <w:t>水利</w:t>
      </w:r>
      <w:r>
        <w:rPr>
          <w:rFonts w:hint="eastAsia" w:ascii="仿宋" w:hAnsi="仿宋" w:eastAsia="仿宋" w:cs="仿宋"/>
          <w:sz w:val="32"/>
          <w:szCs w:val="32"/>
          <w:highlight w:val="none"/>
        </w:rPr>
        <w:t>局</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公安</w:t>
      </w:r>
      <w:r>
        <w:rPr>
          <w:rFonts w:hint="eastAsia" w:ascii="仿宋" w:hAnsi="仿宋" w:eastAsia="仿宋" w:cs="仿宋"/>
          <w:sz w:val="32"/>
          <w:szCs w:val="32"/>
          <w:highlight w:val="none"/>
          <w:lang w:eastAsia="zh-CN"/>
        </w:rPr>
        <w:t>分</w:t>
      </w:r>
      <w:r>
        <w:rPr>
          <w:rFonts w:hint="eastAsia" w:ascii="仿宋" w:hAnsi="仿宋" w:eastAsia="仿宋" w:cs="仿宋"/>
          <w:sz w:val="32"/>
          <w:szCs w:val="32"/>
          <w:highlight w:val="none"/>
        </w:rPr>
        <w:t>局、</w:t>
      </w:r>
      <w:r>
        <w:rPr>
          <w:rFonts w:hint="eastAsia" w:ascii="仿宋" w:hAnsi="仿宋" w:eastAsia="仿宋" w:cs="仿宋"/>
          <w:sz w:val="32"/>
          <w:szCs w:val="32"/>
          <w:highlight w:val="none"/>
          <w:lang w:eastAsia="zh-CN"/>
        </w:rPr>
        <w:t>疾病预防控制局、区</w:t>
      </w:r>
      <w:r>
        <w:rPr>
          <w:rFonts w:hint="eastAsia" w:ascii="仿宋" w:hAnsi="仿宋" w:eastAsia="仿宋" w:cs="仿宋"/>
          <w:sz w:val="32"/>
          <w:szCs w:val="32"/>
          <w:highlight w:val="none"/>
        </w:rPr>
        <w:t>委宣传部</w:t>
      </w:r>
      <w:r>
        <w:rPr>
          <w:rFonts w:hint="eastAsia" w:ascii="仿宋" w:hAnsi="仿宋" w:eastAsia="仿宋" w:cs="仿宋"/>
          <w:sz w:val="32"/>
          <w:szCs w:val="32"/>
          <w:highlight w:val="none"/>
          <w:lang w:eastAsia="zh-CN"/>
        </w:rPr>
        <w:t>、区委</w:t>
      </w:r>
      <w:r>
        <w:rPr>
          <w:rFonts w:hint="eastAsia" w:ascii="仿宋" w:hAnsi="仿宋" w:eastAsia="仿宋" w:cs="仿宋"/>
          <w:sz w:val="32"/>
          <w:szCs w:val="32"/>
          <w:highlight w:val="none"/>
        </w:rPr>
        <w:t>政法委</w:t>
      </w:r>
      <w:r>
        <w:rPr>
          <w:rFonts w:hint="eastAsia" w:ascii="仿宋" w:hAnsi="仿宋" w:eastAsia="仿宋" w:cs="仿宋"/>
          <w:sz w:val="32"/>
          <w:szCs w:val="32"/>
          <w:highlight w:val="none"/>
          <w:lang w:eastAsia="zh-CN"/>
        </w:rPr>
        <w:t>、区委统战部、</w:t>
      </w:r>
      <w:r>
        <w:rPr>
          <w:rFonts w:hint="eastAsia" w:ascii="仿宋" w:hAnsi="仿宋" w:eastAsia="仿宋" w:cs="仿宋"/>
          <w:sz w:val="32"/>
          <w:szCs w:val="32"/>
          <w:highlight w:val="none"/>
        </w:rPr>
        <w:t>发改委、教育局、</w:t>
      </w:r>
      <w:r>
        <w:rPr>
          <w:rFonts w:hint="eastAsia" w:ascii="仿宋" w:hAnsi="仿宋" w:eastAsia="仿宋" w:cs="仿宋"/>
          <w:sz w:val="32"/>
          <w:szCs w:val="32"/>
          <w:highlight w:val="none"/>
          <w:lang w:eastAsia="zh-CN"/>
        </w:rPr>
        <w:t>工信</w:t>
      </w:r>
      <w:r>
        <w:rPr>
          <w:rFonts w:hint="eastAsia" w:ascii="仿宋" w:hAnsi="仿宋" w:eastAsia="仿宋" w:cs="仿宋"/>
          <w:sz w:val="32"/>
          <w:szCs w:val="32"/>
          <w:highlight w:val="none"/>
        </w:rPr>
        <w:t>科技</w:t>
      </w:r>
      <w:r>
        <w:rPr>
          <w:rFonts w:hint="eastAsia" w:ascii="仿宋" w:hAnsi="仿宋" w:eastAsia="仿宋" w:cs="仿宋"/>
          <w:sz w:val="32"/>
          <w:szCs w:val="32"/>
          <w:highlight w:val="none"/>
          <w:lang w:eastAsia="zh-CN"/>
        </w:rPr>
        <w:t>商务局</w:t>
      </w:r>
      <w:r>
        <w:rPr>
          <w:rFonts w:hint="eastAsia" w:ascii="仿宋" w:hAnsi="仿宋" w:eastAsia="仿宋" w:cs="仿宋"/>
          <w:sz w:val="32"/>
          <w:szCs w:val="32"/>
          <w:highlight w:val="none"/>
        </w:rPr>
        <w:t>、民政和退役军人事务局</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司法局、财政局、</w:t>
      </w:r>
      <w:r>
        <w:rPr>
          <w:rFonts w:hint="eastAsia" w:ascii="仿宋" w:hAnsi="仿宋" w:eastAsia="仿宋" w:cs="仿宋"/>
          <w:sz w:val="32"/>
          <w:szCs w:val="32"/>
          <w:highlight w:val="none"/>
          <w:lang w:eastAsia="zh-CN"/>
        </w:rPr>
        <w:t>自然资源局、住房建设和交通运输局</w:t>
      </w:r>
      <w:r>
        <w:rPr>
          <w:rFonts w:hint="eastAsia" w:ascii="仿宋" w:hAnsi="仿宋" w:eastAsia="仿宋" w:cs="仿宋"/>
          <w:sz w:val="32"/>
          <w:szCs w:val="32"/>
          <w:highlight w:val="none"/>
        </w:rPr>
        <w:t>、</w:t>
      </w:r>
      <w:r>
        <w:rPr>
          <w:rFonts w:hint="eastAsia" w:ascii="仿宋" w:hAnsi="仿宋" w:eastAsia="仿宋" w:cs="仿宋"/>
          <w:sz w:val="32"/>
          <w:szCs w:val="32"/>
          <w:highlight w:val="none"/>
          <w:lang w:eastAsia="zh-CN"/>
        </w:rPr>
        <w:t>文体旅游广电局</w:t>
      </w:r>
      <w:r>
        <w:rPr>
          <w:rFonts w:hint="eastAsia" w:ascii="仿宋" w:hAnsi="仿宋" w:eastAsia="仿宋" w:cs="仿宋"/>
          <w:sz w:val="32"/>
          <w:szCs w:val="32"/>
          <w:highlight w:val="none"/>
        </w:rPr>
        <w:t>、生态环境</w:t>
      </w:r>
      <w:r>
        <w:rPr>
          <w:rFonts w:hint="eastAsia" w:ascii="仿宋" w:hAnsi="仿宋" w:eastAsia="仿宋" w:cs="仿宋"/>
          <w:sz w:val="32"/>
          <w:szCs w:val="32"/>
          <w:highlight w:val="none"/>
          <w:lang w:eastAsia="zh-CN"/>
        </w:rPr>
        <w:t>分</w:t>
      </w:r>
      <w:r>
        <w:rPr>
          <w:rFonts w:hint="eastAsia" w:ascii="仿宋" w:hAnsi="仿宋" w:eastAsia="仿宋" w:cs="仿宋"/>
          <w:sz w:val="32"/>
          <w:szCs w:val="32"/>
          <w:highlight w:val="none"/>
        </w:rPr>
        <w:t>局</w:t>
      </w:r>
      <w:r>
        <w:rPr>
          <w:rFonts w:hint="eastAsia" w:ascii="仿宋" w:hAnsi="仿宋" w:eastAsia="仿宋" w:cs="仿宋"/>
          <w:sz w:val="32"/>
          <w:szCs w:val="32"/>
          <w:highlight w:val="none"/>
          <w:lang w:eastAsia="zh-CN"/>
        </w:rPr>
        <w:t>、城市管理综合行政执法局</w:t>
      </w:r>
      <w:r>
        <w:rPr>
          <w:rFonts w:hint="eastAsia" w:ascii="仿宋" w:hAnsi="仿宋" w:eastAsia="仿宋" w:cs="仿宋"/>
          <w:sz w:val="32"/>
          <w:szCs w:val="32"/>
          <w:highlight w:val="none"/>
        </w:rPr>
        <w:t>等部门以及相关行业协会组织。根据食品安全事故应急处置工作需要，可增加其他部门作为成员单位。</w:t>
      </w:r>
    </w:p>
    <w:p w14:paraId="57AF8C0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应急指挥部下设办公室，设在</w:t>
      </w:r>
      <w:r>
        <w:rPr>
          <w:rFonts w:hint="eastAsia" w:ascii="仿宋" w:hAnsi="仿宋" w:eastAsia="仿宋" w:cs="仿宋"/>
          <w:sz w:val="32"/>
          <w:szCs w:val="32"/>
          <w:lang w:eastAsia="zh-CN"/>
        </w:rPr>
        <w:t>区</w:t>
      </w:r>
      <w:r>
        <w:rPr>
          <w:rFonts w:hint="eastAsia" w:ascii="仿宋" w:hAnsi="仿宋" w:eastAsia="仿宋" w:cs="仿宋"/>
          <w:sz w:val="32"/>
          <w:szCs w:val="32"/>
        </w:rPr>
        <w:t>市场监管局。办公室主任由</w:t>
      </w:r>
      <w:r>
        <w:rPr>
          <w:rFonts w:hint="eastAsia" w:ascii="仿宋" w:hAnsi="仿宋" w:eastAsia="仿宋" w:cs="仿宋"/>
          <w:sz w:val="32"/>
          <w:szCs w:val="32"/>
          <w:lang w:eastAsia="zh-CN"/>
        </w:rPr>
        <w:t>区</w:t>
      </w:r>
      <w:r>
        <w:rPr>
          <w:rFonts w:hint="eastAsia" w:ascii="仿宋" w:hAnsi="仿宋" w:eastAsia="仿宋" w:cs="仿宋"/>
          <w:sz w:val="32"/>
          <w:szCs w:val="32"/>
        </w:rPr>
        <w:t>市场监管局局长兼任。</w:t>
      </w:r>
    </w:p>
    <w:p w14:paraId="08EC380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2.2应急指挥部职责</w:t>
      </w:r>
    </w:p>
    <w:p w14:paraId="38B0537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应急指挥部负责统一领导食品安全事故应急处置工作；研究重大应急决策和部署；</w:t>
      </w:r>
      <w:r>
        <w:rPr>
          <w:rFonts w:hint="eastAsia" w:ascii="仿宋" w:hAnsi="仿宋" w:eastAsia="仿宋" w:cs="仿宋"/>
          <w:sz w:val="32"/>
          <w:szCs w:val="32"/>
          <w:lang w:eastAsia="zh-CN"/>
        </w:rPr>
        <w:t>向本级人民政府提出应急预案的启动和终止建议；</w:t>
      </w:r>
      <w:r>
        <w:rPr>
          <w:rFonts w:hint="eastAsia" w:ascii="仿宋" w:hAnsi="仿宋" w:eastAsia="仿宋" w:cs="仿宋"/>
          <w:sz w:val="32"/>
          <w:szCs w:val="32"/>
        </w:rPr>
        <w:t>组织发布食品安全事故的重要信息；审议批准应急指挥部办公室提交的应急处置工作报告；应急处置的其他工作。</w:t>
      </w:r>
    </w:p>
    <w:p w14:paraId="07C9F7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2.3应急机制启动</w:t>
      </w:r>
    </w:p>
    <w:p w14:paraId="169E35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食品安全事故发生后，区市场监管局会同有关部门依法组织对事故进行分析评估，及时报告事故情况和进展。IV级食品安全事故，由区人民政府组织成立相应应急指挥机构，统一组织开展本行政区域事故应急处置工作。</w:t>
      </w:r>
    </w:p>
    <w:p w14:paraId="5A3BD4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2.4应急指挥部办公室职责</w:t>
      </w:r>
    </w:p>
    <w:p w14:paraId="3FCF64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应急指挥部办公室承担应急指挥部的日常工作，主要负责贯彻落实应急指挥部的各项工作部署，组织实施事故应急处置工作；督查</w:t>
      </w:r>
      <w:r>
        <w:rPr>
          <w:rFonts w:hint="eastAsia" w:ascii="仿宋" w:hAnsi="仿宋" w:eastAsia="仿宋" w:cs="仿宋"/>
          <w:sz w:val="32"/>
          <w:szCs w:val="32"/>
          <w:lang w:eastAsia="zh-CN"/>
        </w:rPr>
        <w:t>本</w:t>
      </w:r>
      <w:r>
        <w:rPr>
          <w:rFonts w:hint="eastAsia" w:ascii="仿宋" w:hAnsi="仿宋" w:eastAsia="仿宋" w:cs="仿宋"/>
          <w:sz w:val="32"/>
          <w:szCs w:val="32"/>
        </w:rPr>
        <w:t>地区和部门做好各项应急处置工作，及时有效地控制事故，防止事态蔓延扩大；研究协调解决事故应急处理工作中的具体问题；向</w:t>
      </w:r>
      <w:r>
        <w:rPr>
          <w:rFonts w:hint="eastAsia" w:ascii="仿宋" w:hAnsi="仿宋" w:eastAsia="仿宋" w:cs="仿宋"/>
          <w:sz w:val="32"/>
          <w:szCs w:val="32"/>
          <w:lang w:eastAsia="zh-CN"/>
        </w:rPr>
        <w:t>区</w:t>
      </w:r>
      <w:r>
        <w:rPr>
          <w:rFonts w:hint="eastAsia" w:ascii="仿宋" w:hAnsi="仿宋" w:eastAsia="仿宋" w:cs="仿宋"/>
          <w:sz w:val="32"/>
          <w:szCs w:val="32"/>
        </w:rPr>
        <w:t>人民政府、应急指挥部</w:t>
      </w:r>
      <w:r>
        <w:rPr>
          <w:rFonts w:hint="eastAsia" w:ascii="仿宋" w:hAnsi="仿宋" w:eastAsia="仿宋" w:cs="仿宋"/>
          <w:sz w:val="32"/>
          <w:szCs w:val="32"/>
          <w:lang w:eastAsia="zh-CN"/>
        </w:rPr>
        <w:t>、上级承担食品安全事故应急处置部门</w:t>
      </w:r>
      <w:r>
        <w:rPr>
          <w:rFonts w:hint="eastAsia" w:ascii="仿宋" w:hAnsi="仿宋" w:eastAsia="仿宋" w:cs="仿宋"/>
          <w:sz w:val="32"/>
          <w:szCs w:val="32"/>
        </w:rPr>
        <w:t>及有关单位报告、通报事故应急处置工作情况，组织信息发布。应急指挥部办公室建立会商、发文、信息发布和督查等制度，确保快速反应、高效处置食品安全事故。</w:t>
      </w:r>
    </w:p>
    <w:p w14:paraId="05B7B0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2.5成员单位职责</w:t>
      </w:r>
    </w:p>
    <w:p w14:paraId="13428E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各成员单位在应急指挥部统一领导下开展工作，</w:t>
      </w:r>
      <w:r>
        <w:rPr>
          <w:rFonts w:hint="eastAsia" w:ascii="仿宋" w:hAnsi="仿宋" w:eastAsia="仿宋" w:cs="仿宋"/>
          <w:sz w:val="32"/>
          <w:szCs w:val="32"/>
          <w:lang w:eastAsia="zh-CN"/>
        </w:rPr>
        <w:t>按职责分工</w:t>
      </w:r>
      <w:r>
        <w:rPr>
          <w:rFonts w:hint="eastAsia" w:ascii="仿宋" w:hAnsi="仿宋" w:eastAsia="仿宋" w:cs="仿宋"/>
          <w:sz w:val="32"/>
          <w:szCs w:val="32"/>
        </w:rPr>
        <w:t>积极参与应急救援。具体职责见附件2。</w:t>
      </w:r>
    </w:p>
    <w:p w14:paraId="6CD15C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2.6应急指挥部各工作组设置及职责</w:t>
      </w:r>
    </w:p>
    <w:p w14:paraId="144DF0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根据事故处置需要，应急指挥部下设8个工作组，各工作组在应急指挥部的统一指挥下分别开展相关工作，并随时向应急指挥部办公室报告工作开展情况。</w:t>
      </w:r>
    </w:p>
    <w:p w14:paraId="697437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1.事故调查组：由</w:t>
      </w:r>
      <w:r>
        <w:rPr>
          <w:rFonts w:hint="eastAsia" w:ascii="仿宋" w:hAnsi="仿宋" w:eastAsia="仿宋" w:cs="仿宋"/>
          <w:sz w:val="32"/>
          <w:szCs w:val="32"/>
          <w:lang w:eastAsia="zh-CN"/>
        </w:rPr>
        <w:t>区</w:t>
      </w:r>
      <w:r>
        <w:rPr>
          <w:rFonts w:hint="eastAsia" w:ascii="仿宋" w:hAnsi="仿宋" w:eastAsia="仿宋" w:cs="仿宋"/>
          <w:sz w:val="32"/>
          <w:szCs w:val="32"/>
        </w:rPr>
        <w:t>市场监管局牵头，会同</w:t>
      </w:r>
      <w:r>
        <w:rPr>
          <w:rFonts w:hint="eastAsia" w:ascii="仿宋" w:hAnsi="仿宋" w:eastAsia="仿宋" w:cs="仿宋"/>
          <w:sz w:val="32"/>
          <w:szCs w:val="32"/>
          <w:lang w:eastAsia="zh-CN"/>
        </w:rPr>
        <w:t>区</w:t>
      </w:r>
      <w:r>
        <w:rPr>
          <w:rFonts w:hint="eastAsia" w:ascii="仿宋" w:hAnsi="仿宋" w:eastAsia="仿宋" w:cs="仿宋"/>
          <w:sz w:val="32"/>
          <w:szCs w:val="32"/>
        </w:rPr>
        <w:t>卫健委、农牧</w:t>
      </w:r>
      <w:r>
        <w:rPr>
          <w:rFonts w:hint="eastAsia" w:ascii="仿宋" w:hAnsi="仿宋" w:eastAsia="仿宋" w:cs="仿宋"/>
          <w:sz w:val="32"/>
          <w:szCs w:val="32"/>
          <w:lang w:eastAsia="zh-CN"/>
        </w:rPr>
        <w:t>水利</w:t>
      </w:r>
      <w:r>
        <w:rPr>
          <w:rFonts w:hint="eastAsia" w:ascii="仿宋" w:hAnsi="仿宋" w:eastAsia="仿宋" w:cs="仿宋"/>
          <w:sz w:val="32"/>
          <w:szCs w:val="32"/>
        </w:rPr>
        <w:t>局、公安</w:t>
      </w:r>
      <w:r>
        <w:rPr>
          <w:rFonts w:hint="eastAsia" w:ascii="仿宋" w:hAnsi="仿宋" w:eastAsia="仿宋" w:cs="仿宋"/>
          <w:sz w:val="32"/>
          <w:szCs w:val="32"/>
          <w:lang w:eastAsia="zh-CN"/>
        </w:rPr>
        <w:t>分</w:t>
      </w:r>
      <w:r>
        <w:rPr>
          <w:rFonts w:hint="eastAsia" w:ascii="仿宋" w:hAnsi="仿宋" w:eastAsia="仿宋" w:cs="仿宋"/>
          <w:sz w:val="32"/>
          <w:szCs w:val="32"/>
        </w:rPr>
        <w:t>局</w:t>
      </w:r>
      <w:r>
        <w:rPr>
          <w:rFonts w:hint="eastAsia" w:ascii="仿宋" w:hAnsi="仿宋" w:eastAsia="仿宋" w:cs="仿宋"/>
          <w:sz w:val="32"/>
          <w:szCs w:val="32"/>
          <w:lang w:eastAsia="zh-CN"/>
        </w:rPr>
        <w:t>、疾控局</w:t>
      </w:r>
      <w:r>
        <w:rPr>
          <w:rFonts w:hint="eastAsia" w:ascii="仿宋" w:hAnsi="仿宋" w:eastAsia="仿宋" w:cs="仿宋"/>
          <w:sz w:val="32"/>
          <w:szCs w:val="32"/>
        </w:rPr>
        <w:t>等相关部门，负责调查事故发生原因，评估事故影响，作出调查结论，提出事故防范意见；涉嫌犯罪的，由公安部门依法立案侦办。</w:t>
      </w:r>
    </w:p>
    <w:p w14:paraId="5E0549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2.危害控制组：由</w:t>
      </w:r>
      <w:r>
        <w:rPr>
          <w:rFonts w:hint="eastAsia" w:ascii="仿宋" w:hAnsi="仿宋" w:eastAsia="仿宋" w:cs="仿宋"/>
          <w:sz w:val="32"/>
          <w:szCs w:val="32"/>
          <w:lang w:eastAsia="zh-CN"/>
        </w:rPr>
        <w:t>区</w:t>
      </w:r>
      <w:r>
        <w:rPr>
          <w:rFonts w:hint="eastAsia" w:ascii="仿宋" w:hAnsi="仿宋" w:eastAsia="仿宋" w:cs="仿宋"/>
          <w:sz w:val="32"/>
          <w:szCs w:val="32"/>
        </w:rPr>
        <w:t>市场监管局等事故发生环节的具体监管职能部门牵头，会同相关行业主管、监管部门召回、下架、封存有关食品、食品添加剂及食品相关产品。严格控制流通渠道，对问题食品、食品添加剂及食品相关产品的来源、流向进行追溯，防止危害蔓延扩大。</w:t>
      </w:r>
    </w:p>
    <w:p w14:paraId="7007645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3.医疗救治组：由</w:t>
      </w:r>
      <w:r>
        <w:rPr>
          <w:rFonts w:hint="eastAsia" w:ascii="仿宋" w:hAnsi="仿宋" w:eastAsia="仿宋" w:cs="仿宋"/>
          <w:sz w:val="32"/>
          <w:szCs w:val="32"/>
          <w:lang w:eastAsia="zh-CN"/>
        </w:rPr>
        <w:t>区</w:t>
      </w:r>
      <w:r>
        <w:rPr>
          <w:rFonts w:hint="eastAsia" w:ascii="仿宋" w:hAnsi="仿宋" w:eastAsia="仿宋" w:cs="仿宋"/>
          <w:sz w:val="32"/>
          <w:szCs w:val="32"/>
        </w:rPr>
        <w:t>卫健委牵头，结合事故调查组的调查情况，组织协调医疗机构，制定最佳救治方案，对病患进行医疗救治。</w:t>
      </w:r>
    </w:p>
    <w:p w14:paraId="0A04A2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4.流行病调查与卫生处理组：由</w:t>
      </w:r>
      <w:r>
        <w:rPr>
          <w:rFonts w:hint="eastAsia" w:ascii="仿宋" w:hAnsi="仿宋" w:eastAsia="仿宋" w:cs="仿宋"/>
          <w:sz w:val="32"/>
          <w:szCs w:val="32"/>
          <w:lang w:eastAsia="zh-CN"/>
        </w:rPr>
        <w:t>区</w:t>
      </w:r>
      <w:r>
        <w:rPr>
          <w:rFonts w:hint="eastAsia" w:ascii="仿宋" w:hAnsi="仿宋" w:eastAsia="仿宋" w:cs="仿宋"/>
          <w:sz w:val="32"/>
          <w:szCs w:val="32"/>
        </w:rPr>
        <w:t>卫健委牵头，</w:t>
      </w:r>
      <w:r>
        <w:rPr>
          <w:rFonts w:hint="eastAsia" w:ascii="仿宋" w:hAnsi="仿宋" w:eastAsia="仿宋" w:cs="仿宋"/>
          <w:sz w:val="32"/>
          <w:szCs w:val="32"/>
          <w:lang w:eastAsia="zh-CN"/>
        </w:rPr>
        <w:t>区</w:t>
      </w:r>
      <w:r>
        <w:rPr>
          <w:rFonts w:hint="eastAsia" w:ascii="仿宋" w:hAnsi="仿宋" w:eastAsia="仿宋" w:cs="仿宋"/>
          <w:sz w:val="32"/>
          <w:szCs w:val="32"/>
        </w:rPr>
        <w:t>疾病预防控制机构应当对事故现场进行卫生处理，并对与事故有关的因素开展流行病学调查。</w:t>
      </w:r>
      <w:r>
        <w:rPr>
          <w:rFonts w:hint="eastAsia" w:ascii="仿宋" w:hAnsi="仿宋" w:eastAsia="仿宋" w:cs="仿宋"/>
          <w:sz w:val="32"/>
          <w:szCs w:val="32"/>
          <w:lang w:eastAsia="zh-CN"/>
        </w:rPr>
        <w:t>区</w:t>
      </w:r>
      <w:r>
        <w:rPr>
          <w:rFonts w:hint="eastAsia" w:ascii="仿宋" w:hAnsi="仿宋" w:eastAsia="仿宋" w:cs="仿宋"/>
          <w:sz w:val="32"/>
          <w:szCs w:val="32"/>
        </w:rPr>
        <w:t>疾病预防控制机构应当向</w:t>
      </w:r>
      <w:r>
        <w:rPr>
          <w:rFonts w:hint="eastAsia" w:ascii="仿宋" w:hAnsi="仿宋" w:eastAsia="仿宋" w:cs="仿宋"/>
          <w:sz w:val="32"/>
          <w:szCs w:val="32"/>
          <w:lang w:eastAsia="zh-CN"/>
        </w:rPr>
        <w:t>区</w:t>
      </w:r>
      <w:r>
        <w:rPr>
          <w:rFonts w:hint="eastAsia" w:ascii="仿宋" w:hAnsi="仿宋" w:eastAsia="仿宋" w:cs="仿宋"/>
          <w:sz w:val="32"/>
          <w:szCs w:val="32"/>
        </w:rPr>
        <w:t>食品安全监督管理、卫生行政部门提交流行病学调查报告。</w:t>
      </w:r>
    </w:p>
    <w:p w14:paraId="78B646D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5.检测评估组：由</w:t>
      </w:r>
      <w:r>
        <w:rPr>
          <w:rFonts w:hint="eastAsia" w:ascii="仿宋" w:hAnsi="仿宋" w:eastAsia="仿宋" w:cs="仿宋"/>
          <w:sz w:val="32"/>
          <w:szCs w:val="32"/>
          <w:highlight w:val="none"/>
          <w:lang w:eastAsia="zh-CN"/>
        </w:rPr>
        <w:t>区</w:t>
      </w:r>
      <w:r>
        <w:rPr>
          <w:rFonts w:hint="eastAsia" w:ascii="仿宋" w:hAnsi="仿宋" w:eastAsia="仿宋" w:cs="仿宋"/>
          <w:sz w:val="32"/>
          <w:szCs w:val="32"/>
          <w:highlight w:val="none"/>
        </w:rPr>
        <w:t>卫健委牵头，会同</w:t>
      </w:r>
      <w:r>
        <w:rPr>
          <w:rFonts w:hint="eastAsia" w:ascii="仿宋" w:hAnsi="仿宋" w:eastAsia="仿宋" w:cs="仿宋"/>
          <w:sz w:val="32"/>
          <w:szCs w:val="32"/>
          <w:lang w:eastAsia="zh-CN"/>
        </w:rPr>
        <w:t>区</w:t>
      </w:r>
      <w:r>
        <w:rPr>
          <w:rFonts w:hint="eastAsia" w:ascii="仿宋" w:hAnsi="仿宋" w:eastAsia="仿宋" w:cs="仿宋"/>
          <w:sz w:val="32"/>
          <w:szCs w:val="32"/>
        </w:rPr>
        <w:t>市场监管局等相关部门，</w:t>
      </w:r>
      <w:r>
        <w:rPr>
          <w:rFonts w:hint="eastAsia" w:ascii="仿宋" w:hAnsi="仿宋" w:eastAsia="仿宋" w:cs="仿宋"/>
          <w:sz w:val="32"/>
          <w:szCs w:val="32"/>
          <w:lang w:eastAsia="zh-CN"/>
        </w:rPr>
        <w:t>按国家法律、法规、标准等</w:t>
      </w:r>
      <w:r>
        <w:rPr>
          <w:rFonts w:hint="eastAsia" w:ascii="仿宋" w:hAnsi="仿宋" w:eastAsia="仿宋" w:cs="仿宋"/>
          <w:sz w:val="32"/>
          <w:szCs w:val="32"/>
        </w:rPr>
        <w:t>提出检测方案和要求，组织实施相关检测，综合分析各方检测数据，查找事故原因和评估事故发展趋势，预测事故后果，为制定现场抢救方案和采取控制措施提供参考。检测评估结果要及时报告应急指挥部办公室。</w:t>
      </w:r>
    </w:p>
    <w:p w14:paraId="19309B2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6.维护稳定组：由</w:t>
      </w:r>
      <w:r>
        <w:rPr>
          <w:rFonts w:hint="eastAsia" w:ascii="仿宋" w:hAnsi="仿宋" w:eastAsia="仿宋" w:cs="仿宋"/>
          <w:sz w:val="32"/>
          <w:szCs w:val="32"/>
          <w:lang w:eastAsia="zh-CN"/>
        </w:rPr>
        <w:t>区</w:t>
      </w:r>
      <w:r>
        <w:rPr>
          <w:rFonts w:hint="eastAsia" w:ascii="仿宋" w:hAnsi="仿宋" w:eastAsia="仿宋" w:cs="仿宋"/>
          <w:sz w:val="32"/>
          <w:szCs w:val="32"/>
        </w:rPr>
        <w:t>公安</w:t>
      </w:r>
      <w:r>
        <w:rPr>
          <w:rFonts w:hint="eastAsia" w:ascii="仿宋" w:hAnsi="仿宋" w:eastAsia="仿宋" w:cs="仿宋"/>
          <w:sz w:val="32"/>
          <w:szCs w:val="32"/>
          <w:lang w:eastAsia="zh-CN"/>
        </w:rPr>
        <w:t>分</w:t>
      </w:r>
      <w:r>
        <w:rPr>
          <w:rFonts w:hint="eastAsia" w:ascii="仿宋" w:hAnsi="仿宋" w:eastAsia="仿宋" w:cs="仿宋"/>
          <w:sz w:val="32"/>
          <w:szCs w:val="32"/>
        </w:rPr>
        <w:t>局牵头，积极化解因事故造成的矛盾纠纷，维护社会稳定。</w:t>
      </w:r>
    </w:p>
    <w:p w14:paraId="7DD947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7.新闻宣传组：由</w:t>
      </w:r>
      <w:r>
        <w:rPr>
          <w:rFonts w:hint="eastAsia" w:ascii="仿宋" w:hAnsi="仿宋" w:eastAsia="仿宋" w:cs="仿宋"/>
          <w:sz w:val="32"/>
          <w:szCs w:val="32"/>
          <w:lang w:eastAsia="zh-CN"/>
        </w:rPr>
        <w:t>区</w:t>
      </w:r>
      <w:r>
        <w:rPr>
          <w:rFonts w:hint="eastAsia" w:ascii="仿宋" w:hAnsi="仿宋" w:eastAsia="仿宋" w:cs="仿宋"/>
          <w:sz w:val="32"/>
          <w:szCs w:val="32"/>
        </w:rPr>
        <w:t>委宣传部牵头，会同</w:t>
      </w:r>
      <w:r>
        <w:rPr>
          <w:rFonts w:hint="eastAsia" w:ascii="仿宋" w:hAnsi="仿宋" w:eastAsia="仿宋" w:cs="仿宋"/>
          <w:sz w:val="32"/>
          <w:szCs w:val="32"/>
          <w:lang w:eastAsia="zh-CN"/>
        </w:rPr>
        <w:t>区</w:t>
      </w:r>
      <w:r>
        <w:rPr>
          <w:rFonts w:hint="eastAsia" w:ascii="仿宋" w:hAnsi="仿宋" w:eastAsia="仿宋" w:cs="仿宋"/>
          <w:sz w:val="32"/>
          <w:szCs w:val="32"/>
        </w:rPr>
        <w:t>市场监管局</w:t>
      </w:r>
      <w:r>
        <w:rPr>
          <w:rFonts w:hint="eastAsia" w:ascii="仿宋" w:hAnsi="仿宋" w:eastAsia="仿宋" w:cs="仿宋"/>
          <w:sz w:val="32"/>
          <w:szCs w:val="32"/>
          <w:lang w:eastAsia="zh-CN"/>
        </w:rPr>
        <w:t>、</w:t>
      </w:r>
      <w:r>
        <w:rPr>
          <w:rFonts w:hint="eastAsia" w:ascii="仿宋" w:hAnsi="仿宋" w:eastAsia="仿宋" w:cs="仿宋"/>
          <w:sz w:val="32"/>
          <w:szCs w:val="32"/>
        </w:rPr>
        <w:t>卫健委等相关部门组织事故处置宣传报道和舆论引导，并协调相关部门做好信息发布工作。</w:t>
      </w:r>
    </w:p>
    <w:p w14:paraId="21598F6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8.专家评估组：成立由专家组成的专家组，负责食品安全事故应急处置工作的咨询和指导，对事故进行分析评估，为应急响应的调整和</w:t>
      </w:r>
      <w:r>
        <w:rPr>
          <w:rFonts w:hint="eastAsia" w:ascii="仿宋" w:hAnsi="仿宋" w:eastAsia="仿宋" w:cs="仿宋"/>
          <w:sz w:val="32"/>
          <w:szCs w:val="32"/>
          <w:lang w:eastAsia="zh-CN"/>
        </w:rPr>
        <w:t>终止</w:t>
      </w:r>
      <w:r>
        <w:rPr>
          <w:rFonts w:hint="eastAsia" w:ascii="仿宋" w:hAnsi="仿宋" w:eastAsia="仿宋" w:cs="仿宋"/>
          <w:sz w:val="32"/>
          <w:szCs w:val="32"/>
        </w:rPr>
        <w:t>以及应急处置工作提供决策建议，必要时参与应急处置。</w:t>
      </w:r>
    </w:p>
    <w:p w14:paraId="319A07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3.监测预警、报告与评估</w:t>
      </w:r>
    </w:p>
    <w:p w14:paraId="12D2063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3.1监测预警</w:t>
      </w:r>
    </w:p>
    <w:p w14:paraId="1922B8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卫健委会同</w:t>
      </w:r>
      <w:r>
        <w:rPr>
          <w:rFonts w:hint="eastAsia" w:ascii="仿宋" w:hAnsi="仿宋" w:eastAsia="仿宋" w:cs="仿宋"/>
          <w:sz w:val="32"/>
          <w:szCs w:val="32"/>
          <w:lang w:eastAsia="zh-CN"/>
        </w:rPr>
        <w:t>区</w:t>
      </w:r>
      <w:r>
        <w:rPr>
          <w:rFonts w:hint="eastAsia" w:ascii="仿宋" w:hAnsi="仿宋" w:eastAsia="仿宋" w:cs="仿宋"/>
          <w:sz w:val="32"/>
          <w:szCs w:val="32"/>
        </w:rPr>
        <w:t>市场监管局等有关单位确定技术机构承担食品安全风险监测工作。根据全</w:t>
      </w:r>
      <w:r>
        <w:rPr>
          <w:rFonts w:hint="eastAsia" w:ascii="仿宋" w:hAnsi="仿宋" w:eastAsia="仿宋" w:cs="仿宋"/>
          <w:sz w:val="32"/>
          <w:szCs w:val="32"/>
          <w:lang w:eastAsia="zh-CN"/>
        </w:rPr>
        <w:t>区</w:t>
      </w:r>
      <w:r>
        <w:rPr>
          <w:rFonts w:hint="eastAsia" w:ascii="仿宋" w:hAnsi="仿宋" w:eastAsia="仿宋" w:cs="仿宋"/>
          <w:sz w:val="32"/>
          <w:szCs w:val="32"/>
        </w:rPr>
        <w:t>食品安全风险监测工作需要，在综合利用现有监测机构能力的基础上，制定和实施加强</w:t>
      </w:r>
      <w:r>
        <w:rPr>
          <w:rFonts w:hint="eastAsia" w:ascii="仿宋" w:hAnsi="仿宋" w:eastAsia="仿宋" w:cs="仿宋"/>
          <w:sz w:val="32"/>
          <w:szCs w:val="32"/>
          <w:lang w:eastAsia="zh-CN"/>
        </w:rPr>
        <w:t>区</w:t>
      </w:r>
      <w:r>
        <w:rPr>
          <w:rFonts w:hint="eastAsia" w:ascii="仿宋" w:hAnsi="仿宋" w:eastAsia="仿宋" w:cs="仿宋"/>
          <w:sz w:val="32"/>
          <w:szCs w:val="32"/>
        </w:rPr>
        <w:t>食品安全风险监测能力建设规划</w:t>
      </w:r>
      <w:r>
        <w:rPr>
          <w:rFonts w:hint="eastAsia" w:ascii="仿宋" w:hAnsi="仿宋" w:eastAsia="仿宋" w:cs="仿宋"/>
          <w:sz w:val="32"/>
          <w:szCs w:val="32"/>
          <w:highlight w:val="none"/>
        </w:rPr>
        <w:t>，建立覆盖全区的食源性疾病监测体系，配合呼伦贝尔市开展食品污染和食品中有害因素监测体系建设工作。要根据食品安全风险监测结果，对食品安全状况进行综合分析，对可能具有较高程度安全</w:t>
      </w:r>
      <w:r>
        <w:rPr>
          <w:rFonts w:hint="eastAsia" w:ascii="仿宋" w:hAnsi="仿宋" w:eastAsia="仿宋" w:cs="仿宋"/>
          <w:sz w:val="32"/>
          <w:szCs w:val="32"/>
        </w:rPr>
        <w:t>风险的食品，提出并公布食品安全风险警示信息。</w:t>
      </w:r>
    </w:p>
    <w:p w14:paraId="7AC700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由</w:t>
      </w:r>
      <w:r>
        <w:rPr>
          <w:rFonts w:hint="eastAsia" w:ascii="仿宋" w:hAnsi="仿宋" w:eastAsia="仿宋" w:cs="仿宋"/>
          <w:sz w:val="32"/>
          <w:szCs w:val="32"/>
          <w:lang w:eastAsia="zh-CN"/>
        </w:rPr>
        <w:t>区</w:t>
      </w:r>
      <w:r>
        <w:rPr>
          <w:rFonts w:hint="eastAsia" w:ascii="仿宋" w:hAnsi="仿宋" w:eastAsia="仿宋" w:cs="仿宋"/>
          <w:sz w:val="32"/>
          <w:szCs w:val="32"/>
        </w:rPr>
        <w:t>委宣传部积极做好本地区食品安全突发事故网络舆情组织协调工作</w:t>
      </w:r>
      <w:r>
        <w:rPr>
          <w:rFonts w:hint="eastAsia" w:ascii="仿宋" w:hAnsi="仿宋" w:eastAsia="仿宋" w:cs="仿宋"/>
          <w:sz w:val="32"/>
          <w:szCs w:val="32"/>
          <w:lang w:eastAsia="zh-CN"/>
        </w:rPr>
        <w:t>，</w:t>
      </w:r>
      <w:r>
        <w:rPr>
          <w:rFonts w:hint="eastAsia" w:ascii="仿宋" w:hAnsi="仿宋" w:eastAsia="仿宋" w:cs="仿宋"/>
          <w:sz w:val="32"/>
          <w:szCs w:val="32"/>
        </w:rPr>
        <w:t>及时收集媒体对本</w:t>
      </w:r>
      <w:r>
        <w:rPr>
          <w:rFonts w:hint="eastAsia" w:ascii="仿宋" w:hAnsi="仿宋" w:eastAsia="仿宋" w:cs="仿宋"/>
          <w:sz w:val="32"/>
          <w:szCs w:val="32"/>
          <w:lang w:eastAsia="zh-CN"/>
        </w:rPr>
        <w:t>地区</w:t>
      </w:r>
      <w:r>
        <w:rPr>
          <w:rFonts w:hint="eastAsia" w:ascii="仿宋" w:hAnsi="仿宋" w:eastAsia="仿宋" w:cs="仿宋"/>
          <w:sz w:val="32"/>
          <w:szCs w:val="32"/>
        </w:rPr>
        <w:t>食品安全突发事件和相关敏感问题的报道，密切跟踪舆情动态。</w:t>
      </w:r>
    </w:p>
    <w:p w14:paraId="1731D74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有关监管部门发现食品安全隐患或问题，应及时报告</w:t>
      </w:r>
      <w:r>
        <w:rPr>
          <w:rFonts w:hint="eastAsia" w:ascii="仿宋" w:hAnsi="仿宋" w:eastAsia="仿宋" w:cs="仿宋"/>
          <w:sz w:val="32"/>
          <w:szCs w:val="32"/>
          <w:lang w:eastAsia="zh-CN"/>
        </w:rPr>
        <w:t>区</w:t>
      </w:r>
      <w:r>
        <w:rPr>
          <w:rFonts w:hint="eastAsia" w:ascii="仿宋" w:hAnsi="仿宋" w:eastAsia="仿宋" w:cs="仿宋"/>
          <w:sz w:val="32"/>
          <w:szCs w:val="32"/>
        </w:rPr>
        <w:t>市场监管局和有关</w:t>
      </w:r>
      <w:r>
        <w:rPr>
          <w:rFonts w:hint="eastAsia" w:ascii="仿宋" w:hAnsi="仿宋" w:eastAsia="仿宋" w:cs="仿宋"/>
          <w:sz w:val="32"/>
          <w:szCs w:val="32"/>
          <w:lang w:eastAsia="zh-CN"/>
        </w:rPr>
        <w:t>部门</w:t>
      </w:r>
      <w:r>
        <w:rPr>
          <w:rFonts w:hint="eastAsia" w:ascii="仿宋" w:hAnsi="仿宋" w:eastAsia="仿宋" w:cs="仿宋"/>
          <w:sz w:val="32"/>
          <w:szCs w:val="32"/>
        </w:rPr>
        <w:t>，依法及时采取有效的控制措施，防止事态进一步扩大。</w:t>
      </w:r>
    </w:p>
    <w:p w14:paraId="01C74A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3.2事故报告</w:t>
      </w:r>
    </w:p>
    <w:p w14:paraId="7688CC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3.2.1事故信息来源</w:t>
      </w:r>
    </w:p>
    <w:p w14:paraId="573476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食品安全事故发生单位与引发食品安全事故食品的生产经营单位报告的信息；</w:t>
      </w:r>
    </w:p>
    <w:p w14:paraId="34D898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医疗、疾控机构报告的信息；</w:t>
      </w:r>
    </w:p>
    <w:p w14:paraId="5C1F96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食品安全相关技术机构监测和分析结果；</w:t>
      </w:r>
    </w:p>
    <w:p w14:paraId="0C20D5A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4</w:t>
      </w:r>
      <w:r>
        <w:rPr>
          <w:rFonts w:hint="eastAsia" w:ascii="仿宋" w:hAnsi="仿宋" w:eastAsia="仿宋" w:cs="仿宋"/>
          <w:sz w:val="32"/>
          <w:szCs w:val="32"/>
          <w:lang w:eastAsia="zh-CN"/>
        </w:rPr>
        <w:t>）</w:t>
      </w:r>
      <w:r>
        <w:rPr>
          <w:rFonts w:hint="eastAsia" w:ascii="仿宋" w:hAnsi="仿宋" w:eastAsia="仿宋" w:cs="仿宋"/>
          <w:sz w:val="32"/>
          <w:szCs w:val="32"/>
        </w:rPr>
        <w:t>经核实的公众投诉举报信息；</w:t>
      </w:r>
    </w:p>
    <w:p w14:paraId="51CFA6C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5</w:t>
      </w:r>
      <w:r>
        <w:rPr>
          <w:rFonts w:hint="eastAsia" w:ascii="仿宋" w:hAnsi="仿宋" w:eastAsia="仿宋" w:cs="仿宋"/>
          <w:sz w:val="32"/>
          <w:szCs w:val="32"/>
          <w:lang w:eastAsia="zh-CN"/>
        </w:rPr>
        <w:t>）</w:t>
      </w:r>
      <w:r>
        <w:rPr>
          <w:rFonts w:hint="eastAsia" w:ascii="仿宋" w:hAnsi="仿宋" w:eastAsia="仿宋" w:cs="仿宋"/>
          <w:sz w:val="32"/>
          <w:szCs w:val="32"/>
        </w:rPr>
        <w:t>经核实的媒体披露与报道信息；</w:t>
      </w:r>
    </w:p>
    <w:p w14:paraId="0792BAF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6</w:t>
      </w:r>
      <w:r>
        <w:rPr>
          <w:rFonts w:hint="eastAsia" w:ascii="仿宋" w:hAnsi="仿宋" w:eastAsia="仿宋" w:cs="仿宋"/>
          <w:sz w:val="32"/>
          <w:szCs w:val="32"/>
          <w:lang w:eastAsia="zh-CN"/>
        </w:rPr>
        <w:t>）</w:t>
      </w:r>
      <w:r>
        <w:rPr>
          <w:rFonts w:hint="eastAsia" w:ascii="仿宋" w:hAnsi="仿宋" w:eastAsia="仿宋" w:cs="仿宋"/>
          <w:sz w:val="32"/>
          <w:szCs w:val="32"/>
        </w:rPr>
        <w:t>国家、自治区</w:t>
      </w:r>
      <w:r>
        <w:rPr>
          <w:rFonts w:hint="eastAsia" w:ascii="仿宋" w:hAnsi="仿宋" w:eastAsia="仿宋" w:cs="仿宋"/>
          <w:sz w:val="32"/>
          <w:szCs w:val="32"/>
          <w:lang w:eastAsia="zh-CN"/>
        </w:rPr>
        <w:t>、呼伦贝尔市、其他旗县区</w:t>
      </w:r>
      <w:r>
        <w:rPr>
          <w:rFonts w:hint="eastAsia" w:ascii="仿宋" w:hAnsi="仿宋" w:eastAsia="仿宋" w:cs="仿宋"/>
          <w:sz w:val="32"/>
          <w:szCs w:val="32"/>
        </w:rPr>
        <w:t>及部门通报我</w:t>
      </w:r>
      <w:r>
        <w:rPr>
          <w:rFonts w:hint="eastAsia" w:ascii="仿宋" w:hAnsi="仿宋" w:eastAsia="仿宋" w:cs="仿宋"/>
          <w:sz w:val="32"/>
          <w:szCs w:val="32"/>
          <w:lang w:eastAsia="zh-CN"/>
        </w:rPr>
        <w:t>区</w:t>
      </w:r>
      <w:r>
        <w:rPr>
          <w:rFonts w:hint="eastAsia" w:ascii="仿宋" w:hAnsi="仿宋" w:eastAsia="仿宋" w:cs="仿宋"/>
          <w:sz w:val="32"/>
          <w:szCs w:val="32"/>
        </w:rPr>
        <w:t>的相关信息；</w:t>
      </w:r>
    </w:p>
    <w:p w14:paraId="671712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7）食品安全风险监测发现的信息；</w:t>
      </w:r>
    </w:p>
    <w:p w14:paraId="255B4E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8</w:t>
      </w:r>
      <w:r>
        <w:rPr>
          <w:rFonts w:hint="eastAsia" w:ascii="仿宋" w:hAnsi="仿宋" w:eastAsia="仿宋" w:cs="仿宋"/>
          <w:sz w:val="32"/>
          <w:szCs w:val="32"/>
          <w:lang w:eastAsia="zh-CN"/>
        </w:rPr>
        <w:t>）</w:t>
      </w:r>
      <w:r>
        <w:rPr>
          <w:rFonts w:hint="eastAsia" w:ascii="仿宋" w:hAnsi="仿宋" w:eastAsia="仿宋" w:cs="仿宋"/>
          <w:sz w:val="32"/>
          <w:szCs w:val="32"/>
        </w:rPr>
        <w:t>市场监管、农业、海关</w:t>
      </w:r>
      <w:r>
        <w:rPr>
          <w:rFonts w:hint="eastAsia" w:ascii="仿宋" w:hAnsi="仿宋" w:eastAsia="仿宋" w:cs="仿宋"/>
          <w:sz w:val="32"/>
          <w:szCs w:val="32"/>
          <w:lang w:eastAsia="zh-CN"/>
        </w:rPr>
        <w:t>、卫健</w:t>
      </w:r>
      <w:r>
        <w:rPr>
          <w:rFonts w:hint="eastAsia" w:ascii="仿宋" w:hAnsi="仿宋" w:eastAsia="仿宋" w:cs="仿宋"/>
          <w:sz w:val="32"/>
          <w:szCs w:val="32"/>
        </w:rPr>
        <w:t>等部门监督、抽检信息；</w:t>
      </w:r>
    </w:p>
    <w:p w14:paraId="7D7276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9</w:t>
      </w:r>
      <w:r>
        <w:rPr>
          <w:rFonts w:hint="eastAsia" w:ascii="仿宋" w:hAnsi="仿宋" w:eastAsia="仿宋" w:cs="仿宋"/>
          <w:sz w:val="32"/>
          <w:szCs w:val="32"/>
          <w:lang w:eastAsia="zh-CN"/>
        </w:rPr>
        <w:t>）食品安全监管机构在日常监督检查中发现的食品安全信息。</w:t>
      </w:r>
    </w:p>
    <w:p w14:paraId="5598729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3.2.2报告主体和时限</w:t>
      </w:r>
    </w:p>
    <w:p w14:paraId="38A2FC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食品生产经营者发现其生产经营的食品造成或者可能造成公众健康损害的情况和信息，应当在2小时内向</w:t>
      </w:r>
      <w:r>
        <w:rPr>
          <w:rFonts w:hint="eastAsia" w:ascii="仿宋" w:hAnsi="仿宋" w:eastAsia="仿宋" w:cs="仿宋"/>
          <w:sz w:val="32"/>
          <w:szCs w:val="32"/>
          <w:lang w:eastAsia="zh-CN"/>
        </w:rPr>
        <w:t>区</w:t>
      </w:r>
      <w:r>
        <w:rPr>
          <w:rFonts w:hint="eastAsia" w:ascii="仿宋" w:hAnsi="仿宋" w:eastAsia="仿宋" w:cs="仿宋"/>
          <w:sz w:val="32"/>
          <w:szCs w:val="32"/>
        </w:rPr>
        <w:t>卫健、市场监管等有关部门报告。</w:t>
      </w:r>
    </w:p>
    <w:p w14:paraId="043E09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发生可能与食品有关的急性群体性健康损害的单位，应当在2小时内向</w:t>
      </w:r>
      <w:r>
        <w:rPr>
          <w:rFonts w:hint="eastAsia" w:ascii="仿宋" w:hAnsi="仿宋" w:eastAsia="仿宋" w:cs="仿宋"/>
          <w:sz w:val="32"/>
          <w:szCs w:val="32"/>
          <w:lang w:eastAsia="zh-CN"/>
        </w:rPr>
        <w:t>区</w:t>
      </w:r>
      <w:r>
        <w:rPr>
          <w:rFonts w:hint="eastAsia" w:ascii="仿宋" w:hAnsi="仿宋" w:eastAsia="仿宋" w:cs="仿宋"/>
          <w:sz w:val="32"/>
          <w:szCs w:val="32"/>
        </w:rPr>
        <w:t>卫健、市场监管等有关部门报告。</w:t>
      </w:r>
    </w:p>
    <w:p w14:paraId="468A8DB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接收食品安全事故病人治疗的单位，应当按照国家和自治区</w:t>
      </w:r>
      <w:r>
        <w:rPr>
          <w:rFonts w:hint="eastAsia" w:ascii="仿宋" w:hAnsi="仿宋" w:eastAsia="仿宋" w:cs="仿宋"/>
          <w:sz w:val="32"/>
          <w:szCs w:val="32"/>
          <w:lang w:eastAsia="zh-CN"/>
        </w:rPr>
        <w:t>、呼伦贝尔市</w:t>
      </w:r>
      <w:r>
        <w:rPr>
          <w:rFonts w:hint="eastAsia" w:ascii="仿宋" w:hAnsi="仿宋" w:eastAsia="仿宋" w:cs="仿宋"/>
          <w:sz w:val="32"/>
          <w:szCs w:val="32"/>
        </w:rPr>
        <w:t>的有关规定及时向</w:t>
      </w:r>
      <w:r>
        <w:rPr>
          <w:rFonts w:hint="eastAsia" w:ascii="仿宋" w:hAnsi="仿宋" w:eastAsia="仿宋" w:cs="仿宋"/>
          <w:sz w:val="32"/>
          <w:szCs w:val="32"/>
          <w:lang w:eastAsia="zh-CN"/>
        </w:rPr>
        <w:t>区</w:t>
      </w:r>
      <w:r>
        <w:rPr>
          <w:rFonts w:hint="eastAsia" w:ascii="仿宋" w:hAnsi="仿宋" w:eastAsia="仿宋" w:cs="仿宋"/>
          <w:sz w:val="32"/>
          <w:szCs w:val="32"/>
        </w:rPr>
        <w:t>卫健部门报告，卫健部门认为与食品安全有关的，应当及时通报</w:t>
      </w:r>
      <w:r>
        <w:rPr>
          <w:rFonts w:hint="eastAsia" w:ascii="仿宋" w:hAnsi="仿宋" w:eastAsia="仿宋" w:cs="仿宋"/>
          <w:sz w:val="32"/>
          <w:szCs w:val="32"/>
          <w:lang w:eastAsia="zh-CN"/>
        </w:rPr>
        <w:t>区</w:t>
      </w:r>
      <w:r>
        <w:rPr>
          <w:rFonts w:hint="eastAsia" w:ascii="仿宋" w:hAnsi="仿宋" w:eastAsia="仿宋" w:cs="仿宋"/>
          <w:sz w:val="32"/>
          <w:szCs w:val="32"/>
        </w:rPr>
        <w:t>市场监管等有关部门。</w:t>
      </w:r>
    </w:p>
    <w:p w14:paraId="21F660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4</w:t>
      </w:r>
      <w:r>
        <w:rPr>
          <w:rFonts w:hint="eastAsia" w:ascii="仿宋" w:hAnsi="仿宋" w:eastAsia="仿宋" w:cs="仿宋"/>
          <w:sz w:val="32"/>
          <w:szCs w:val="32"/>
          <w:lang w:eastAsia="zh-CN"/>
        </w:rPr>
        <w:t>）</w:t>
      </w:r>
      <w:r>
        <w:rPr>
          <w:rFonts w:hint="eastAsia" w:ascii="仿宋" w:hAnsi="仿宋" w:eastAsia="仿宋" w:cs="仿宋"/>
          <w:sz w:val="32"/>
          <w:szCs w:val="32"/>
        </w:rPr>
        <w:t>卫健部门在调查处理传染病或者其他突发公共卫生事件中发现与食品安全相关的信息，应当及时通报</w:t>
      </w:r>
      <w:r>
        <w:rPr>
          <w:rFonts w:hint="eastAsia" w:ascii="仿宋" w:hAnsi="仿宋" w:eastAsia="仿宋" w:cs="仿宋"/>
          <w:sz w:val="32"/>
          <w:szCs w:val="32"/>
          <w:lang w:eastAsia="zh-CN"/>
        </w:rPr>
        <w:t>区</w:t>
      </w:r>
      <w:r>
        <w:rPr>
          <w:rFonts w:hint="eastAsia" w:ascii="仿宋" w:hAnsi="仿宋" w:eastAsia="仿宋" w:cs="仿宋"/>
          <w:sz w:val="32"/>
          <w:szCs w:val="32"/>
        </w:rPr>
        <w:t>市场监管等有关部门。</w:t>
      </w:r>
    </w:p>
    <w:p w14:paraId="432F94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5</w:t>
      </w:r>
      <w:r>
        <w:rPr>
          <w:rFonts w:hint="eastAsia" w:ascii="仿宋" w:hAnsi="仿宋" w:eastAsia="仿宋" w:cs="仿宋"/>
          <w:sz w:val="32"/>
          <w:szCs w:val="32"/>
          <w:lang w:eastAsia="zh-CN"/>
        </w:rPr>
        <w:t>）</w:t>
      </w:r>
      <w:r>
        <w:rPr>
          <w:rFonts w:hint="eastAsia" w:ascii="仿宋" w:hAnsi="仿宋" w:eastAsia="仿宋" w:cs="仿宋"/>
          <w:sz w:val="32"/>
          <w:szCs w:val="32"/>
        </w:rPr>
        <w:t>食品安全相关技术机构、有关社会团体及个人发现食品安全事故相关情况，应当及时向</w:t>
      </w:r>
      <w:r>
        <w:rPr>
          <w:rFonts w:hint="eastAsia" w:ascii="仿宋" w:hAnsi="仿宋" w:eastAsia="仿宋" w:cs="仿宋"/>
          <w:sz w:val="32"/>
          <w:szCs w:val="32"/>
          <w:lang w:eastAsia="zh-CN"/>
        </w:rPr>
        <w:t>区</w:t>
      </w:r>
      <w:r>
        <w:rPr>
          <w:rFonts w:hint="eastAsia" w:ascii="仿宋" w:hAnsi="仿宋" w:eastAsia="仿宋" w:cs="仿宋"/>
          <w:sz w:val="32"/>
          <w:szCs w:val="32"/>
        </w:rPr>
        <w:t>卫健、市场监管等有关部门报告或举报。</w:t>
      </w:r>
    </w:p>
    <w:p w14:paraId="059953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6</w:t>
      </w:r>
      <w:r>
        <w:rPr>
          <w:rFonts w:hint="eastAsia" w:ascii="仿宋" w:hAnsi="仿宋" w:eastAsia="仿宋" w:cs="仿宋"/>
          <w:sz w:val="32"/>
          <w:szCs w:val="32"/>
          <w:lang w:eastAsia="zh-CN"/>
        </w:rPr>
        <w:t>）</w:t>
      </w:r>
      <w:r>
        <w:rPr>
          <w:rFonts w:hint="eastAsia" w:ascii="仿宋" w:hAnsi="仿宋" w:eastAsia="仿宋" w:cs="仿宋"/>
          <w:sz w:val="32"/>
          <w:szCs w:val="32"/>
        </w:rPr>
        <w:t>有关监管部门接到食品安全事故的报告，应当立即通报</w:t>
      </w:r>
      <w:r>
        <w:rPr>
          <w:rFonts w:hint="eastAsia" w:ascii="仿宋" w:hAnsi="仿宋" w:eastAsia="仿宋" w:cs="仿宋"/>
          <w:sz w:val="32"/>
          <w:szCs w:val="32"/>
          <w:lang w:eastAsia="zh-CN"/>
        </w:rPr>
        <w:t>区</w:t>
      </w:r>
      <w:r>
        <w:rPr>
          <w:rFonts w:hint="eastAsia" w:ascii="仿宋" w:hAnsi="仿宋" w:eastAsia="仿宋" w:cs="仿宋"/>
          <w:sz w:val="32"/>
          <w:szCs w:val="32"/>
        </w:rPr>
        <w:t>市场监管、卫健等有关部门</w:t>
      </w:r>
      <w:r>
        <w:rPr>
          <w:rFonts w:hint="eastAsia" w:ascii="仿宋" w:hAnsi="仿宋" w:eastAsia="仿宋" w:cs="仿宋"/>
          <w:sz w:val="32"/>
          <w:szCs w:val="32"/>
          <w:lang w:eastAsia="zh-CN"/>
        </w:rPr>
        <w:t>。同时</w:t>
      </w:r>
      <w:r>
        <w:rPr>
          <w:rFonts w:hint="eastAsia" w:ascii="仿宋" w:hAnsi="仿宋" w:eastAsia="仿宋" w:cs="仿宋"/>
          <w:sz w:val="32"/>
          <w:szCs w:val="32"/>
        </w:rPr>
        <w:t>要继续收集相关信息，</w:t>
      </w:r>
      <w:r>
        <w:rPr>
          <w:rFonts w:hint="eastAsia" w:ascii="仿宋" w:hAnsi="仿宋" w:eastAsia="仿宋" w:cs="仿宋"/>
          <w:sz w:val="32"/>
          <w:szCs w:val="32"/>
          <w:lang w:eastAsia="zh-CN"/>
        </w:rPr>
        <w:t>核实后</w:t>
      </w:r>
      <w:r>
        <w:rPr>
          <w:rFonts w:hint="eastAsia" w:ascii="仿宋" w:hAnsi="仿宋" w:eastAsia="仿宋" w:cs="仿宋"/>
          <w:sz w:val="32"/>
          <w:szCs w:val="32"/>
        </w:rPr>
        <w:t>及时将有关情况进一步向</w:t>
      </w:r>
      <w:r>
        <w:rPr>
          <w:rFonts w:hint="eastAsia" w:ascii="仿宋" w:hAnsi="仿宋" w:eastAsia="仿宋" w:cs="仿宋"/>
          <w:sz w:val="32"/>
          <w:szCs w:val="32"/>
          <w:lang w:eastAsia="zh-CN"/>
        </w:rPr>
        <w:t>呼伦贝尔市</w:t>
      </w:r>
      <w:r>
        <w:rPr>
          <w:rFonts w:hint="eastAsia" w:ascii="仿宋" w:hAnsi="仿宋" w:eastAsia="仿宋" w:cs="仿宋"/>
          <w:sz w:val="32"/>
          <w:szCs w:val="32"/>
        </w:rPr>
        <w:t>有关部门通报。</w:t>
      </w:r>
    </w:p>
    <w:p w14:paraId="0E1080E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7</w:t>
      </w:r>
      <w:r>
        <w:rPr>
          <w:rFonts w:hint="eastAsia" w:ascii="仿宋" w:hAnsi="仿宋" w:eastAsia="仿宋" w:cs="仿宋"/>
          <w:sz w:val="32"/>
          <w:szCs w:val="32"/>
          <w:lang w:eastAsia="zh-CN"/>
        </w:rPr>
        <w:t>）</w:t>
      </w:r>
      <w:r>
        <w:rPr>
          <w:rFonts w:hint="eastAsia" w:ascii="仿宋" w:hAnsi="仿宋" w:eastAsia="仿宋" w:cs="仿宋"/>
          <w:sz w:val="32"/>
          <w:szCs w:val="32"/>
        </w:rPr>
        <w:t>经初步核实为食品安全事故且需要启动应急响应的，</w:t>
      </w:r>
      <w:r>
        <w:rPr>
          <w:rFonts w:hint="eastAsia" w:ascii="仿宋" w:hAnsi="仿宋" w:eastAsia="仿宋" w:cs="仿宋"/>
          <w:sz w:val="32"/>
          <w:szCs w:val="32"/>
          <w:lang w:eastAsia="zh-CN"/>
        </w:rPr>
        <w:t>区</w:t>
      </w:r>
      <w:r>
        <w:rPr>
          <w:rFonts w:hint="eastAsia" w:ascii="仿宋" w:hAnsi="仿宋" w:eastAsia="仿宋" w:cs="仿宋"/>
          <w:sz w:val="32"/>
          <w:szCs w:val="32"/>
        </w:rPr>
        <w:t>市场监管部门应当按规定向</w:t>
      </w:r>
      <w:r>
        <w:rPr>
          <w:rFonts w:hint="eastAsia" w:ascii="仿宋" w:hAnsi="仿宋" w:eastAsia="仿宋" w:cs="仿宋"/>
          <w:sz w:val="32"/>
          <w:szCs w:val="32"/>
          <w:lang w:eastAsia="zh-CN"/>
        </w:rPr>
        <w:t>区</w:t>
      </w:r>
      <w:r>
        <w:rPr>
          <w:rFonts w:hint="eastAsia" w:ascii="仿宋" w:hAnsi="仿宋" w:eastAsia="仿宋" w:cs="仿宋"/>
          <w:sz w:val="32"/>
          <w:szCs w:val="32"/>
        </w:rPr>
        <w:t>人民政府、上级市场监管部门报告；必要时，可越级报告并同时抄送被越过的机关。</w:t>
      </w:r>
    </w:p>
    <w:p w14:paraId="6FE3FF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8</w:t>
      </w:r>
      <w:r>
        <w:rPr>
          <w:rFonts w:hint="eastAsia" w:ascii="仿宋" w:hAnsi="仿宋" w:eastAsia="仿宋" w:cs="仿宋"/>
          <w:sz w:val="32"/>
          <w:szCs w:val="32"/>
          <w:lang w:eastAsia="zh-CN"/>
        </w:rPr>
        <w:t>）</w:t>
      </w:r>
      <w:r>
        <w:rPr>
          <w:rFonts w:hint="eastAsia" w:ascii="仿宋" w:hAnsi="仿宋" w:eastAsia="仿宋" w:cs="仿宋"/>
          <w:sz w:val="32"/>
          <w:szCs w:val="32"/>
        </w:rPr>
        <w:t>涉及外籍人员或影响到境外的突发事件，需要向上级部门及有关国家、地区、国际机构通报的，按照相关规定办理。</w:t>
      </w:r>
    </w:p>
    <w:p w14:paraId="706A55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3.2.3报告内容</w:t>
      </w:r>
    </w:p>
    <w:p w14:paraId="1381CF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食品生产经营者、医疗和技术机构、社会团体、个人向市场监管部门报告疑似食品安全事故信息时，应当包括事故发生时间、地点和人数等基本情况。</w:t>
      </w:r>
    </w:p>
    <w:p w14:paraId="13AE34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食品安全事故报告分为初报、续报和终报，要根据事故的严重程度、事态发展和控制情况及时报告事故进程。初报包括事故发生单位、时间、地点、危害程度、伤亡人数、事故报告单位信息</w:t>
      </w:r>
      <w:r>
        <w:rPr>
          <w:rFonts w:hint="eastAsia" w:ascii="仿宋" w:hAnsi="仿宋" w:eastAsia="仿宋" w:cs="仿宋"/>
          <w:sz w:val="32"/>
          <w:szCs w:val="32"/>
          <w:lang w:eastAsia="zh-CN"/>
        </w:rPr>
        <w:t>（</w:t>
      </w:r>
      <w:r>
        <w:rPr>
          <w:rFonts w:hint="eastAsia" w:ascii="仿宋" w:hAnsi="仿宋" w:eastAsia="仿宋" w:cs="仿宋"/>
          <w:sz w:val="32"/>
          <w:szCs w:val="32"/>
        </w:rPr>
        <w:t>含报告时间、报告单位联系人员及联系方式</w:t>
      </w:r>
      <w:r>
        <w:rPr>
          <w:rFonts w:hint="eastAsia" w:ascii="仿宋" w:hAnsi="仿宋" w:eastAsia="仿宋" w:cs="仿宋"/>
          <w:sz w:val="32"/>
          <w:szCs w:val="32"/>
          <w:lang w:eastAsia="zh-CN"/>
        </w:rPr>
        <w:t>）</w:t>
      </w:r>
      <w:r>
        <w:rPr>
          <w:rFonts w:hint="eastAsia" w:ascii="仿宋" w:hAnsi="仿宋" w:eastAsia="仿宋" w:cs="仿宋"/>
          <w:sz w:val="32"/>
          <w:szCs w:val="32"/>
        </w:rPr>
        <w:t>、已采取措施、事故简要经过以及现场指挥等内容，续报内容包括对初报的补充修正，以及事故后续发展、处置进程、事故原因等。终报包括事故鉴定结论，事故处理工作的总结，事故原因和影响因素分析，涉事单位处理情况，今后类似事故的防范建议等。</w:t>
      </w:r>
    </w:p>
    <w:p w14:paraId="70C0624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3.3事故评估</w:t>
      </w:r>
    </w:p>
    <w:p w14:paraId="66288E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3.3.1有关监管部门应当按有关规定及时向市场监管部门提供相关信息和资料，由市场监管部门统一组织协调开展食品安全事故评估。</w:t>
      </w:r>
    </w:p>
    <w:p w14:paraId="3EBD81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3.3.2食品安全事故评估是为核定食品安全事故级别和确定应采取的措施而进行的评估。评估内容包括：</w:t>
      </w:r>
    </w:p>
    <w:p w14:paraId="326CED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污染食品可能导致的健康损害及所涉及的范围，是否已造成健康损害后果及严重程度；</w:t>
      </w:r>
    </w:p>
    <w:p w14:paraId="0E90279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事故的影响范围及严重程度；</w:t>
      </w:r>
    </w:p>
    <w:p w14:paraId="7BD3449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事故发展蔓延趋势。</w:t>
      </w:r>
    </w:p>
    <w:p w14:paraId="419B29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4.应急响应</w:t>
      </w:r>
    </w:p>
    <w:p w14:paraId="7AA112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4.1先期处置</w:t>
      </w:r>
    </w:p>
    <w:p w14:paraId="741F8B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发生食品安全事故的单位应立即采取措施，防止事故扩大，组织治病救人，及时向行业主管部门和监管部门报告；应当对导致或者可能导致食品安全事故的食品及原料、工具、设备、设施等，立即采取封存等控制措施，不得转移、毁灭相关证据；按照相应应急处置方案，配合有关部门做好应急处置和调查工作。接到食品安全事故报告或举报后，</w:t>
      </w:r>
      <w:r>
        <w:rPr>
          <w:rFonts w:hint="eastAsia" w:ascii="仿宋" w:hAnsi="仿宋" w:eastAsia="仿宋" w:cs="仿宋"/>
          <w:sz w:val="32"/>
          <w:szCs w:val="32"/>
          <w:lang w:eastAsia="zh-CN"/>
        </w:rPr>
        <w:t>区</w:t>
      </w:r>
      <w:r>
        <w:rPr>
          <w:rFonts w:hint="eastAsia" w:ascii="仿宋" w:hAnsi="仿宋" w:eastAsia="仿宋" w:cs="仿宋"/>
          <w:sz w:val="32"/>
          <w:szCs w:val="32"/>
        </w:rPr>
        <w:t>人民政府及有关监管部门应立即按要求上报和通报事故信息，同时组织有关单位，在各自职责范围内开展先期应急处置和事故调查，采取下列措施，防止、减轻危害或次生危害：</w:t>
      </w:r>
    </w:p>
    <w:p w14:paraId="12E813B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1.全力救治病患。坚持人民至上、生命至上，竭尽全力救治患者，做好安抚工作。</w:t>
      </w:r>
    </w:p>
    <w:p w14:paraId="1FC3B8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2.防止次生危害。对确认属于被污染的食品及其原料，依法依规监督食品生产经营者予以召回或者停止经营。</w:t>
      </w:r>
    </w:p>
    <w:p w14:paraId="1DB925E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尽快查明原因。保护现场，维护治安。封存可能导致食品安全事故的食品及其原料；封存被污染的食品工具及用具；封存发生集体性食物中毒的食品生产经营场所；立即组织应急检验检测。有关部门根据各自职责开展初步调查。</w:t>
      </w:r>
    </w:p>
    <w:p w14:paraId="6C48D21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4.及时回应关切。必要时，报请</w:t>
      </w:r>
      <w:r>
        <w:rPr>
          <w:rFonts w:hint="eastAsia" w:ascii="仿宋" w:hAnsi="仿宋" w:eastAsia="仿宋" w:cs="仿宋"/>
          <w:sz w:val="32"/>
          <w:szCs w:val="32"/>
          <w:lang w:eastAsia="zh-CN"/>
        </w:rPr>
        <w:t>区</w:t>
      </w:r>
      <w:r>
        <w:rPr>
          <w:rFonts w:hint="eastAsia" w:ascii="仿宋" w:hAnsi="仿宋" w:eastAsia="仿宋" w:cs="仿宋"/>
          <w:sz w:val="32"/>
          <w:szCs w:val="32"/>
        </w:rPr>
        <w:t>人民政府同意后向社会依法发布事故及其处理情况，邀请专家开展第三方科普宣传。</w:t>
      </w:r>
    </w:p>
    <w:p w14:paraId="2C1903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4.2应急响应</w:t>
      </w:r>
    </w:p>
    <w:p w14:paraId="447A186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4.2.1分级响应</w:t>
      </w:r>
    </w:p>
    <w:p w14:paraId="4FE829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根据食品安全事故分级情况，食品安全事故应急响应分为I级、Ⅱ级、Ⅲ级和IV级。I级响应由国务院批准启动，Ⅱ级响应由自治区级人民政府启动。Ⅲ级事故由</w:t>
      </w:r>
      <w:r>
        <w:rPr>
          <w:rFonts w:hint="eastAsia" w:ascii="仿宋" w:hAnsi="仿宋" w:eastAsia="仿宋" w:cs="仿宋"/>
          <w:sz w:val="32"/>
          <w:szCs w:val="32"/>
          <w:lang w:eastAsia="zh-CN"/>
        </w:rPr>
        <w:t>呼伦贝尔</w:t>
      </w:r>
      <w:r>
        <w:rPr>
          <w:rFonts w:hint="eastAsia" w:ascii="仿宋" w:hAnsi="仿宋" w:eastAsia="仿宋" w:cs="仿宋"/>
          <w:sz w:val="32"/>
          <w:szCs w:val="32"/>
        </w:rPr>
        <w:t>市人民政府启动相应响应机制；IV级事故发生后，</w:t>
      </w:r>
      <w:r>
        <w:rPr>
          <w:rFonts w:hint="eastAsia" w:ascii="仿宋" w:hAnsi="仿宋" w:eastAsia="仿宋" w:cs="仿宋"/>
          <w:sz w:val="32"/>
          <w:szCs w:val="32"/>
          <w:lang w:eastAsia="zh-CN"/>
        </w:rPr>
        <w:t>扎赉诺尔区</w:t>
      </w:r>
      <w:r>
        <w:rPr>
          <w:rFonts w:hint="eastAsia" w:ascii="仿宋" w:hAnsi="仿宋" w:eastAsia="仿宋" w:cs="仿宋"/>
          <w:sz w:val="32"/>
          <w:szCs w:val="32"/>
        </w:rPr>
        <w:t>人民政府立即组织先期处置，当发生30人以上</w:t>
      </w:r>
      <w:r>
        <w:rPr>
          <w:rFonts w:hint="eastAsia" w:ascii="仿宋" w:hAnsi="仿宋" w:eastAsia="仿宋" w:cs="仿宋"/>
          <w:sz w:val="32"/>
          <w:szCs w:val="32"/>
          <w:lang w:eastAsia="zh-CN"/>
        </w:rPr>
        <w:t>（</w:t>
      </w:r>
      <w:r>
        <w:rPr>
          <w:rFonts w:hint="eastAsia" w:ascii="仿宋" w:hAnsi="仿宋" w:eastAsia="仿宋" w:cs="仿宋"/>
          <w:sz w:val="32"/>
          <w:szCs w:val="32"/>
        </w:rPr>
        <w:t>含本数</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99人以下，</w:t>
      </w:r>
      <w:r>
        <w:rPr>
          <w:rFonts w:hint="eastAsia" w:ascii="仿宋" w:hAnsi="仿宋" w:eastAsia="仿宋" w:cs="仿宋"/>
          <w:sz w:val="32"/>
          <w:szCs w:val="32"/>
        </w:rPr>
        <w:t>食物中毒或在必要时，应启动IV级响应进行处置。</w:t>
      </w:r>
      <w:r>
        <w:rPr>
          <w:rFonts w:hint="eastAsia" w:ascii="仿宋" w:hAnsi="仿宋" w:eastAsia="仿宋" w:cs="仿宋"/>
          <w:sz w:val="32"/>
          <w:szCs w:val="32"/>
          <w:lang w:eastAsia="zh-CN"/>
        </w:rPr>
        <w:t>根据事故进展情况</w:t>
      </w:r>
      <w:r>
        <w:rPr>
          <w:rFonts w:hint="eastAsia" w:ascii="仿宋" w:hAnsi="仿宋" w:eastAsia="仿宋" w:cs="仿宋"/>
          <w:sz w:val="32"/>
          <w:szCs w:val="32"/>
        </w:rPr>
        <w:t>必要时</w:t>
      </w:r>
      <w:r>
        <w:rPr>
          <w:rFonts w:hint="eastAsia" w:ascii="仿宋" w:hAnsi="仿宋" w:eastAsia="仿宋" w:cs="仿宋"/>
          <w:sz w:val="32"/>
          <w:szCs w:val="32"/>
          <w:lang w:eastAsia="zh-CN"/>
        </w:rPr>
        <w:t>报请呼伦贝尔</w:t>
      </w:r>
      <w:r>
        <w:rPr>
          <w:rFonts w:hint="eastAsia" w:ascii="仿宋" w:hAnsi="仿宋" w:eastAsia="仿宋" w:cs="仿宋"/>
          <w:sz w:val="32"/>
          <w:szCs w:val="32"/>
        </w:rPr>
        <w:t>市人民政府派出工作组指导、协助</w:t>
      </w:r>
      <w:r>
        <w:rPr>
          <w:rFonts w:hint="eastAsia" w:ascii="仿宋" w:hAnsi="仿宋" w:eastAsia="仿宋" w:cs="仿宋"/>
          <w:sz w:val="32"/>
          <w:szCs w:val="32"/>
          <w:lang w:eastAsia="zh-CN"/>
        </w:rPr>
        <w:t>扎区</w:t>
      </w:r>
      <w:r>
        <w:rPr>
          <w:rFonts w:hint="eastAsia" w:ascii="仿宋" w:hAnsi="仿宋" w:eastAsia="仿宋" w:cs="仿宋"/>
          <w:sz w:val="32"/>
          <w:szCs w:val="32"/>
        </w:rPr>
        <w:t>人民政府对IV级事故进行应急处置。</w:t>
      </w:r>
    </w:p>
    <w:p w14:paraId="795B3C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4.2.2应急处置措施</w:t>
      </w:r>
    </w:p>
    <w:p w14:paraId="48E40F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IV级事故发生后，应急指挥部根据事故性质、特点和危害程度，立即组织有关部门，依照有关规定采取下列应急处置措施最大限度减轻事故危害：</w:t>
      </w:r>
    </w:p>
    <w:p w14:paraId="208700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1.卫健部门有效利用医疗资源，组织指导医疗机构开展食品安全事故患者的救治。</w:t>
      </w:r>
    </w:p>
    <w:p w14:paraId="53DEE26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卫健部门及时组织疾病预防控制机构开展流行病学调查与检测，相关部门及时组织检验机构开展抽样检验，尽快查找食品安全事故发生的原因。对涉嫌犯罪的，公安机关要及时介入，开展相关违法犯罪行为侦破工作。</w:t>
      </w:r>
    </w:p>
    <w:p w14:paraId="405D26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3.农牧、市场监管等部门应当依法就地或异地封存事故相关食品</w:t>
      </w:r>
      <w:r>
        <w:rPr>
          <w:rFonts w:hint="eastAsia" w:ascii="仿宋" w:hAnsi="仿宋" w:eastAsia="仿宋" w:cs="仿宋"/>
          <w:sz w:val="32"/>
          <w:szCs w:val="32"/>
          <w:lang w:eastAsia="zh-CN"/>
        </w:rPr>
        <w:t>、食品添加剂、食品相关产品</w:t>
      </w:r>
      <w:r>
        <w:rPr>
          <w:rFonts w:hint="eastAsia" w:ascii="仿宋" w:hAnsi="仿宋" w:eastAsia="仿宋" w:cs="仿宋"/>
          <w:sz w:val="32"/>
          <w:szCs w:val="32"/>
        </w:rPr>
        <w:t>和被污染的食品用工具及用具，待查明导致食品安全事故的原因后，责令食品生产经营者彻底清洗消毒被污染的食品用工具及用具，消除污染。</w:t>
      </w:r>
    </w:p>
    <w:p w14:paraId="18CAF4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4.市场监管部门对确认受到有毒有害物质污染的食品</w:t>
      </w:r>
      <w:r>
        <w:rPr>
          <w:rFonts w:hint="eastAsia" w:ascii="仿宋" w:hAnsi="仿宋" w:eastAsia="仿宋" w:cs="仿宋"/>
          <w:sz w:val="32"/>
          <w:szCs w:val="32"/>
          <w:lang w:eastAsia="zh-CN"/>
        </w:rPr>
        <w:t>、食品添加剂、食品相关产品</w:t>
      </w:r>
      <w:r>
        <w:rPr>
          <w:rFonts w:hint="eastAsia" w:ascii="仿宋" w:hAnsi="仿宋" w:eastAsia="仿宋" w:cs="仿宋"/>
          <w:sz w:val="32"/>
          <w:szCs w:val="32"/>
        </w:rPr>
        <w:t>，应当依法责令生产经营者召回、停止经营及进出口并销毁有毒有害食品及原料。检验后确认未被污染的应当予以解封。</w:t>
      </w:r>
    </w:p>
    <w:p w14:paraId="2426A71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5.应急指挥部及时组织研判事故发展态势，并向事故可能蔓延的</w:t>
      </w:r>
      <w:r>
        <w:rPr>
          <w:rFonts w:hint="eastAsia" w:ascii="仿宋" w:hAnsi="仿宋" w:eastAsia="仿宋" w:cs="仿宋"/>
          <w:sz w:val="32"/>
          <w:szCs w:val="32"/>
          <w:lang w:eastAsia="zh-CN"/>
        </w:rPr>
        <w:t>旗县区</w:t>
      </w:r>
      <w:r>
        <w:rPr>
          <w:rFonts w:hint="eastAsia" w:ascii="仿宋" w:hAnsi="仿宋" w:eastAsia="仿宋" w:cs="仿宋"/>
          <w:sz w:val="32"/>
          <w:szCs w:val="32"/>
        </w:rPr>
        <w:t>人民政府</w:t>
      </w:r>
      <w:r>
        <w:rPr>
          <w:rFonts w:hint="eastAsia" w:ascii="仿宋" w:hAnsi="仿宋" w:eastAsia="仿宋" w:cs="仿宋"/>
          <w:sz w:val="32"/>
          <w:szCs w:val="32"/>
          <w:lang w:eastAsia="zh-CN"/>
        </w:rPr>
        <w:t>（</w:t>
      </w:r>
      <w:r>
        <w:rPr>
          <w:rFonts w:hint="eastAsia" w:ascii="仿宋" w:hAnsi="仿宋" w:eastAsia="仿宋" w:cs="仿宋"/>
          <w:sz w:val="32"/>
          <w:szCs w:val="32"/>
        </w:rPr>
        <w:t>公署</w:t>
      </w:r>
      <w:r>
        <w:rPr>
          <w:rFonts w:hint="eastAsia" w:ascii="仿宋" w:hAnsi="仿宋" w:eastAsia="仿宋" w:cs="仿宋"/>
          <w:sz w:val="32"/>
          <w:szCs w:val="32"/>
          <w:lang w:eastAsia="zh-CN"/>
        </w:rPr>
        <w:t>）</w:t>
      </w:r>
      <w:r>
        <w:rPr>
          <w:rFonts w:hint="eastAsia" w:ascii="仿宋" w:hAnsi="仿宋" w:eastAsia="仿宋" w:cs="仿宋"/>
          <w:sz w:val="32"/>
          <w:szCs w:val="32"/>
        </w:rPr>
        <w:t>通报信息，提醒做好应对准备。</w:t>
      </w:r>
    </w:p>
    <w:p w14:paraId="071A0D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4.3检测分析评估</w:t>
      </w:r>
    </w:p>
    <w:p w14:paraId="0DB559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仿宋" w:hAnsi="仿宋" w:eastAsia="仿宋" w:cs="仿宋"/>
          <w:sz w:val="32"/>
          <w:szCs w:val="32"/>
        </w:rPr>
        <w:t>应急处置专业技术机构应当对引发食品安全事故的相关危险因素及时进行检测，专家组对检测数据进行综合分析和评估，分析事故发展趋势、预测事故后果，为制定事故调查和现场处置方案提供参考。有关部门</w:t>
      </w:r>
      <w:r>
        <w:rPr>
          <w:rFonts w:hint="eastAsia" w:ascii="仿宋" w:hAnsi="仿宋" w:eastAsia="仿宋" w:cs="仿宋"/>
          <w:sz w:val="32"/>
          <w:szCs w:val="32"/>
          <w:lang w:eastAsia="zh-CN"/>
        </w:rPr>
        <w:t>要</w:t>
      </w:r>
      <w:r>
        <w:rPr>
          <w:rFonts w:hint="eastAsia" w:ascii="仿宋" w:hAnsi="仿宋" w:eastAsia="仿宋" w:cs="仿宋"/>
          <w:sz w:val="32"/>
          <w:szCs w:val="32"/>
        </w:rPr>
        <w:t>对食品安全事故相关危险因素</w:t>
      </w:r>
      <w:r>
        <w:rPr>
          <w:rFonts w:hint="eastAsia" w:ascii="仿宋" w:hAnsi="仿宋" w:eastAsia="仿宋" w:cs="仿宋"/>
          <w:sz w:val="32"/>
          <w:szCs w:val="32"/>
          <w:lang w:eastAsia="zh-CN"/>
        </w:rPr>
        <w:t>的</w:t>
      </w:r>
      <w:r>
        <w:rPr>
          <w:rFonts w:hint="eastAsia" w:ascii="仿宋" w:hAnsi="仿宋" w:eastAsia="仿宋" w:cs="仿宋"/>
          <w:sz w:val="32"/>
          <w:szCs w:val="32"/>
        </w:rPr>
        <w:t>消除</w:t>
      </w:r>
      <w:r>
        <w:rPr>
          <w:rFonts w:hint="eastAsia" w:ascii="仿宋" w:hAnsi="仿宋" w:eastAsia="仿宋" w:cs="仿宋"/>
          <w:sz w:val="32"/>
          <w:szCs w:val="32"/>
          <w:lang w:eastAsia="zh-CN"/>
        </w:rPr>
        <w:t>与</w:t>
      </w:r>
      <w:r>
        <w:rPr>
          <w:rFonts w:hint="eastAsia" w:ascii="仿宋" w:hAnsi="仿宋" w:eastAsia="仿宋" w:cs="仿宋"/>
          <w:sz w:val="32"/>
          <w:szCs w:val="32"/>
        </w:rPr>
        <w:t>控制</w:t>
      </w:r>
      <w:r>
        <w:rPr>
          <w:rFonts w:hint="eastAsia" w:ascii="仿宋" w:hAnsi="仿宋" w:eastAsia="仿宋" w:cs="仿宋"/>
          <w:sz w:val="32"/>
          <w:szCs w:val="32"/>
          <w:lang w:eastAsia="zh-CN"/>
        </w:rPr>
        <w:t>、</w:t>
      </w:r>
      <w:r>
        <w:rPr>
          <w:rFonts w:hint="eastAsia" w:ascii="仿宋" w:hAnsi="仿宋" w:eastAsia="仿宋" w:cs="仿宋"/>
          <w:sz w:val="32"/>
          <w:szCs w:val="32"/>
        </w:rPr>
        <w:t>对事故中</w:t>
      </w:r>
      <w:r>
        <w:rPr>
          <w:rFonts w:hint="eastAsia" w:ascii="仿宋" w:hAnsi="仿宋" w:eastAsia="仿宋" w:cs="仿宋"/>
          <w:sz w:val="32"/>
          <w:szCs w:val="32"/>
          <w:lang w:eastAsia="zh-CN"/>
        </w:rPr>
        <w:t>患</w:t>
      </w:r>
      <w:r>
        <w:rPr>
          <w:rFonts w:hint="eastAsia" w:ascii="仿宋" w:hAnsi="仿宋" w:eastAsia="仿宋" w:cs="仿宋"/>
          <w:sz w:val="32"/>
          <w:szCs w:val="32"/>
        </w:rPr>
        <w:t>病人员</w:t>
      </w:r>
      <w:r>
        <w:rPr>
          <w:rFonts w:hint="eastAsia" w:ascii="仿宋" w:hAnsi="仿宋" w:eastAsia="仿宋" w:cs="仿宋"/>
          <w:sz w:val="32"/>
          <w:szCs w:val="32"/>
          <w:lang w:eastAsia="zh-CN"/>
        </w:rPr>
        <w:t>的</w:t>
      </w:r>
      <w:r>
        <w:rPr>
          <w:rFonts w:hint="eastAsia" w:ascii="仿宋" w:hAnsi="仿宋" w:eastAsia="仿宋" w:cs="仿宋"/>
          <w:sz w:val="32"/>
          <w:szCs w:val="32"/>
        </w:rPr>
        <w:t>救治</w:t>
      </w:r>
      <w:r>
        <w:rPr>
          <w:rFonts w:hint="eastAsia" w:ascii="仿宋" w:hAnsi="仿宋" w:eastAsia="仿宋" w:cs="仿宋"/>
          <w:sz w:val="32"/>
          <w:szCs w:val="32"/>
          <w:lang w:eastAsia="zh-CN"/>
        </w:rPr>
        <w:t>、事故</w:t>
      </w:r>
      <w:r>
        <w:rPr>
          <w:rFonts w:hint="eastAsia" w:ascii="仿宋" w:hAnsi="仿宋" w:eastAsia="仿宋" w:cs="仿宋"/>
          <w:sz w:val="32"/>
          <w:szCs w:val="32"/>
        </w:rPr>
        <w:t>现场</w:t>
      </w:r>
      <w:r>
        <w:rPr>
          <w:rFonts w:hint="eastAsia" w:ascii="仿宋" w:hAnsi="仿宋" w:eastAsia="仿宋" w:cs="仿宋"/>
          <w:sz w:val="32"/>
          <w:szCs w:val="32"/>
          <w:lang w:eastAsia="zh-CN"/>
        </w:rPr>
        <w:t>和</w:t>
      </w:r>
      <w:r>
        <w:rPr>
          <w:rFonts w:hint="eastAsia" w:ascii="仿宋" w:hAnsi="仿宋" w:eastAsia="仿宋" w:cs="仿宋"/>
          <w:sz w:val="32"/>
          <w:szCs w:val="32"/>
        </w:rPr>
        <w:t>受污染食品</w:t>
      </w:r>
      <w:r>
        <w:rPr>
          <w:rFonts w:hint="eastAsia" w:ascii="仿宋" w:hAnsi="仿宋" w:eastAsia="仿宋" w:cs="仿宋"/>
          <w:sz w:val="32"/>
          <w:szCs w:val="32"/>
          <w:lang w:eastAsia="zh-CN"/>
        </w:rPr>
        <w:t>及食品</w:t>
      </w:r>
      <w:r>
        <w:rPr>
          <w:rFonts w:hint="eastAsia" w:ascii="仿宋" w:hAnsi="仿宋" w:eastAsia="仿宋" w:cs="仿宋"/>
          <w:sz w:val="32"/>
          <w:szCs w:val="32"/>
          <w:lang w:val="en-US" w:eastAsia="zh-CN"/>
        </w:rPr>
        <w:t>相关产品</w:t>
      </w:r>
      <w:r>
        <w:rPr>
          <w:rFonts w:hint="eastAsia" w:ascii="仿宋" w:hAnsi="仿宋" w:eastAsia="仿宋" w:cs="仿宋"/>
          <w:sz w:val="32"/>
          <w:szCs w:val="32"/>
          <w:lang w:eastAsia="zh-CN"/>
        </w:rPr>
        <w:t>的</w:t>
      </w:r>
      <w:r>
        <w:rPr>
          <w:rFonts w:hint="eastAsia" w:ascii="仿宋" w:hAnsi="仿宋" w:eastAsia="仿宋" w:cs="仿宋"/>
          <w:sz w:val="32"/>
          <w:szCs w:val="32"/>
        </w:rPr>
        <w:t>控制</w:t>
      </w:r>
      <w:r>
        <w:rPr>
          <w:rFonts w:hint="eastAsia" w:ascii="仿宋" w:hAnsi="仿宋" w:eastAsia="仿宋" w:cs="仿宋"/>
          <w:sz w:val="32"/>
          <w:szCs w:val="32"/>
          <w:lang w:eastAsia="zh-CN"/>
        </w:rPr>
        <w:t>、</w:t>
      </w:r>
      <w:r>
        <w:rPr>
          <w:rFonts w:hint="eastAsia" w:ascii="仿宋" w:hAnsi="仿宋" w:eastAsia="仿宋" w:cs="仿宋"/>
          <w:sz w:val="32"/>
          <w:szCs w:val="32"/>
        </w:rPr>
        <w:t>次生</w:t>
      </w:r>
      <w:r>
        <w:rPr>
          <w:rFonts w:hint="eastAsia" w:ascii="仿宋" w:hAnsi="仿宋" w:eastAsia="仿宋" w:cs="仿宋"/>
          <w:sz w:val="32"/>
          <w:szCs w:val="32"/>
          <w:lang w:eastAsia="zh-CN"/>
        </w:rPr>
        <w:t>及</w:t>
      </w:r>
      <w:r>
        <w:rPr>
          <w:rFonts w:hint="eastAsia" w:ascii="仿宋" w:hAnsi="仿宋" w:eastAsia="仿宋" w:cs="仿宋"/>
          <w:sz w:val="32"/>
          <w:szCs w:val="32"/>
        </w:rPr>
        <w:t>衍生事故隐患消除等情况进行分析评估</w:t>
      </w:r>
      <w:r>
        <w:rPr>
          <w:rFonts w:hint="eastAsia" w:ascii="仿宋" w:hAnsi="仿宋" w:eastAsia="仿宋" w:cs="仿宋"/>
          <w:sz w:val="32"/>
          <w:szCs w:val="32"/>
          <w:lang w:eastAsia="zh-CN"/>
        </w:rPr>
        <w:t>，并提出工作建议</w:t>
      </w:r>
      <w:r>
        <w:rPr>
          <w:rFonts w:hint="eastAsia" w:ascii="仿宋" w:hAnsi="仿宋" w:eastAsia="仿宋" w:cs="仿宋"/>
          <w:sz w:val="32"/>
          <w:szCs w:val="32"/>
        </w:rPr>
        <w:t>。</w:t>
      </w:r>
    </w:p>
    <w:p w14:paraId="0A829A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4.4响应级别调整及终止</w:t>
      </w:r>
    </w:p>
    <w:p w14:paraId="3A2227D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在食品安全事故处置过程中，要遵循事故发生发展的客观规律，结合实际情况和防控工作需要，根据评估结果及时调整应急响应级别，直至响应终止。</w:t>
      </w:r>
    </w:p>
    <w:p w14:paraId="5A28464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4.4.1响应调整及终止条件</w:t>
      </w:r>
    </w:p>
    <w:p w14:paraId="76EAEC7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响应调整</w:t>
      </w:r>
    </w:p>
    <w:p w14:paraId="2EA724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启动应急响应后，可视食品安全事故造成的危害程度、影响范围及发展趋势等，及时升级或恢复原应急响应级别，避免响应不足或响应过度。</w:t>
      </w:r>
    </w:p>
    <w:p w14:paraId="7FD21E2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响应终止</w:t>
      </w:r>
    </w:p>
    <w:p w14:paraId="2951F9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当食品安全事故得到控制，并达到以下两项要求，经分析评估认为可解除响应的，应当及时终止响应：</w:t>
      </w:r>
    </w:p>
    <w:p w14:paraId="264EE5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--食品安全事故</w:t>
      </w:r>
      <w:r>
        <w:rPr>
          <w:rFonts w:hint="eastAsia" w:ascii="仿宋" w:hAnsi="仿宋" w:eastAsia="仿宋" w:cs="仿宋"/>
          <w:sz w:val="32"/>
          <w:szCs w:val="32"/>
          <w:lang w:eastAsia="zh-CN"/>
        </w:rPr>
        <w:t>患病人员</w:t>
      </w:r>
      <w:r>
        <w:rPr>
          <w:rFonts w:hint="eastAsia" w:ascii="仿宋" w:hAnsi="仿宋" w:eastAsia="仿宋" w:cs="仿宋"/>
          <w:sz w:val="32"/>
          <w:szCs w:val="32"/>
        </w:rPr>
        <w:t>全部得到救治，患者病情稳定24小时以上，且无新的急性病症患者出现，并</w:t>
      </w:r>
      <w:r>
        <w:rPr>
          <w:rFonts w:hint="eastAsia" w:ascii="仿宋" w:hAnsi="仿宋" w:eastAsia="仿宋" w:cs="仿宋"/>
          <w:sz w:val="32"/>
          <w:szCs w:val="32"/>
          <w:lang w:eastAsia="zh-CN"/>
        </w:rPr>
        <w:t>在</w:t>
      </w:r>
      <w:r>
        <w:rPr>
          <w:rFonts w:hint="eastAsia" w:ascii="仿宋" w:hAnsi="仿宋" w:eastAsia="仿宋" w:cs="仿宋"/>
          <w:sz w:val="32"/>
          <w:szCs w:val="32"/>
        </w:rPr>
        <w:t>末例患者后经过一个最长潜伏期无新病例出现；</w:t>
      </w:r>
    </w:p>
    <w:p w14:paraId="48FB0F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--现场、受污染食品及食品相关产品得以有效控制，食品与环境污染得到有效清理并符合相关标准，次生、衍生事故隐患消除。</w:t>
      </w:r>
    </w:p>
    <w:p w14:paraId="51F670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4.4.2响应级别调整及终止程序</w:t>
      </w:r>
    </w:p>
    <w:p w14:paraId="4F7650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IV级事故由应急指挥部组织进行分析评估论证。评估认为符合级别调整条件的，提出调整应急响应级别建议，报</w:t>
      </w:r>
      <w:r>
        <w:rPr>
          <w:rFonts w:hint="eastAsia" w:ascii="仿宋" w:hAnsi="仿宋" w:eastAsia="仿宋" w:cs="仿宋"/>
          <w:sz w:val="32"/>
          <w:szCs w:val="32"/>
          <w:lang w:eastAsia="zh-CN"/>
        </w:rPr>
        <w:t>区</w:t>
      </w:r>
      <w:r>
        <w:rPr>
          <w:rFonts w:hint="eastAsia" w:ascii="仿宋" w:hAnsi="仿宋" w:eastAsia="仿宋" w:cs="仿宋"/>
          <w:sz w:val="32"/>
          <w:szCs w:val="32"/>
        </w:rPr>
        <w:t>人民政府批准后实施。应急响应级别调整后，</w:t>
      </w:r>
      <w:r>
        <w:rPr>
          <w:rFonts w:hint="eastAsia" w:ascii="仿宋" w:hAnsi="仿宋" w:eastAsia="仿宋" w:cs="仿宋"/>
          <w:sz w:val="32"/>
          <w:szCs w:val="32"/>
          <w:lang w:eastAsia="zh-CN"/>
        </w:rPr>
        <w:t>区</w:t>
      </w:r>
      <w:r>
        <w:rPr>
          <w:rFonts w:hint="eastAsia" w:ascii="仿宋" w:hAnsi="仿宋" w:eastAsia="仿宋" w:cs="仿宋"/>
          <w:sz w:val="32"/>
          <w:szCs w:val="32"/>
        </w:rPr>
        <w:t>人民政府应当结合调整后级别采取相应措施。评估认为符合响应终止条件时，应急指挥部提出终止响应的建议，报</w:t>
      </w:r>
      <w:r>
        <w:rPr>
          <w:rFonts w:hint="eastAsia" w:ascii="仿宋" w:hAnsi="仿宋" w:eastAsia="仿宋" w:cs="仿宋"/>
          <w:sz w:val="32"/>
          <w:szCs w:val="32"/>
          <w:lang w:eastAsia="zh-CN"/>
        </w:rPr>
        <w:t>区</w:t>
      </w:r>
      <w:r>
        <w:rPr>
          <w:rFonts w:hint="eastAsia" w:ascii="仿宋" w:hAnsi="仿宋" w:eastAsia="仿宋" w:cs="仿宋"/>
          <w:sz w:val="32"/>
          <w:szCs w:val="32"/>
        </w:rPr>
        <w:t>人民政府批准后实施。</w:t>
      </w:r>
    </w:p>
    <w:p w14:paraId="6C5DDA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人民政府有关部门</w:t>
      </w:r>
      <w:r>
        <w:rPr>
          <w:rFonts w:hint="eastAsia" w:ascii="仿宋" w:hAnsi="仿宋" w:eastAsia="仿宋" w:cs="仿宋"/>
          <w:sz w:val="32"/>
          <w:szCs w:val="32"/>
          <w:lang w:eastAsia="zh-CN"/>
        </w:rPr>
        <w:t>可</w:t>
      </w:r>
      <w:r>
        <w:rPr>
          <w:rFonts w:hint="eastAsia" w:ascii="仿宋" w:hAnsi="仿宋" w:eastAsia="仿宋" w:cs="仿宋"/>
          <w:sz w:val="32"/>
          <w:szCs w:val="32"/>
        </w:rPr>
        <w:t>请求</w:t>
      </w:r>
      <w:r>
        <w:rPr>
          <w:rFonts w:hint="eastAsia" w:ascii="仿宋" w:hAnsi="仿宋" w:eastAsia="仿宋" w:cs="仿宋"/>
          <w:sz w:val="32"/>
          <w:szCs w:val="32"/>
          <w:lang w:eastAsia="zh-CN"/>
        </w:rPr>
        <w:t>呼伦贝尔市政府有关部门</w:t>
      </w:r>
      <w:r>
        <w:rPr>
          <w:rFonts w:hint="eastAsia" w:ascii="仿宋" w:hAnsi="仿宋" w:eastAsia="仿宋" w:cs="仿宋"/>
          <w:sz w:val="32"/>
          <w:szCs w:val="32"/>
        </w:rPr>
        <w:t>组织专家为食品安全事故响应级别调整和终止的分析论证提供技术支持与指导。</w:t>
      </w:r>
    </w:p>
    <w:p w14:paraId="370BD8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lang w:val="en-US" w:eastAsia="zh-CN"/>
        </w:rPr>
        <w:t>4.5信息发布</w:t>
      </w:r>
    </w:p>
    <w:p w14:paraId="36FAB9C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IV级事故信息发布由应急指挥部或其办公室统一组织，采取召开新闻发布会、发布新闻通稿等多种形式向社会发布，做好宣传报道和舆论引导。</w:t>
      </w:r>
    </w:p>
    <w:p w14:paraId="1AEE4D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5.后期处置</w:t>
      </w:r>
    </w:p>
    <w:p w14:paraId="3DACD9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5.1善后处置</w:t>
      </w:r>
    </w:p>
    <w:p w14:paraId="10BA1D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食品安全事故的善后处置包括人员安置、赔偿、补偿，征用物资及运输工具补偿；应急及医疗机构垫付费用、事故受害者后续治疗费用的及时支付以及产品抽样及检验费用的及时拨付；污染物收集、清理与处理等。</w:t>
      </w:r>
    </w:p>
    <w:p w14:paraId="0D1653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人民政府有关部门要积极稳妥、深入细致地做好善后处置工作，尽快妥善安置、慰问受害人和受影响人员，消除事故影响，恢复正常秩序；完善相关政策，促进行业健康发展。</w:t>
      </w:r>
    </w:p>
    <w:p w14:paraId="08E871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食品安全事故发生后，</w:t>
      </w:r>
      <w:r>
        <w:rPr>
          <w:rFonts w:hint="eastAsia" w:ascii="仿宋" w:hAnsi="仿宋" w:eastAsia="仿宋" w:cs="仿宋"/>
          <w:sz w:val="32"/>
          <w:szCs w:val="32"/>
          <w:lang w:eastAsia="zh-CN"/>
        </w:rPr>
        <w:t>已投保食品安全责任险的食品生产经营单位应及时联系保险机构，</w:t>
      </w:r>
      <w:r>
        <w:rPr>
          <w:rFonts w:hint="eastAsia" w:ascii="仿宋" w:hAnsi="仿宋" w:eastAsia="仿宋" w:cs="仿宋"/>
          <w:sz w:val="32"/>
          <w:szCs w:val="32"/>
        </w:rPr>
        <w:t>保险机构应当及时开展应急救援人员保险受理和受灾人员保险理赔工作。</w:t>
      </w:r>
    </w:p>
    <w:p w14:paraId="53D30A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造成食品安全事故的责任单位和责任人应当按照有关</w:t>
      </w:r>
      <w:r>
        <w:rPr>
          <w:rFonts w:hint="eastAsia" w:ascii="仿宋" w:hAnsi="仿宋" w:eastAsia="仿宋" w:cs="仿宋"/>
          <w:sz w:val="32"/>
          <w:szCs w:val="32"/>
          <w:lang w:eastAsia="zh-CN"/>
        </w:rPr>
        <w:t>法律、法规规定</w:t>
      </w:r>
      <w:r>
        <w:rPr>
          <w:rFonts w:hint="eastAsia" w:ascii="仿宋" w:hAnsi="仿宋" w:eastAsia="仿宋" w:cs="仿宋"/>
          <w:sz w:val="32"/>
          <w:szCs w:val="32"/>
        </w:rPr>
        <w:t>对受害人给予赔偿，承担受害人后续治疗及保障等所需全部费用</w:t>
      </w:r>
      <w:r>
        <w:rPr>
          <w:rFonts w:hint="eastAsia" w:ascii="仿宋" w:hAnsi="仿宋" w:eastAsia="仿宋" w:cs="仿宋"/>
          <w:sz w:val="32"/>
          <w:szCs w:val="32"/>
          <w:lang w:eastAsia="zh-CN"/>
        </w:rPr>
        <w:t>，食品安全监管部门应依法对其作出相应的行政处理。</w:t>
      </w:r>
    </w:p>
    <w:p w14:paraId="266CB8D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5.2奖惩</w:t>
      </w:r>
    </w:p>
    <w:p w14:paraId="20575B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5.2.1奖励</w:t>
      </w:r>
    </w:p>
    <w:p w14:paraId="6F0AD8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对在食品安全事故应急管理和处置工作中做出突出贡献的先进集体和个人，经</w:t>
      </w:r>
      <w:r>
        <w:rPr>
          <w:rFonts w:hint="eastAsia" w:ascii="仿宋" w:hAnsi="仿宋" w:eastAsia="仿宋" w:cs="仿宋"/>
          <w:sz w:val="32"/>
          <w:szCs w:val="32"/>
          <w:lang w:eastAsia="zh-CN"/>
        </w:rPr>
        <w:t>区</w:t>
      </w:r>
      <w:r>
        <w:rPr>
          <w:rFonts w:hint="eastAsia" w:ascii="仿宋" w:hAnsi="仿宋" w:eastAsia="仿宋" w:cs="仿宋"/>
          <w:sz w:val="32"/>
          <w:szCs w:val="32"/>
        </w:rPr>
        <w:t>人民政府批准，给予表彰和奖励。</w:t>
      </w:r>
    </w:p>
    <w:p w14:paraId="1F51B3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5.2.2责任追究</w:t>
      </w:r>
    </w:p>
    <w:p w14:paraId="6B1FB4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对迟报、谎报、瞒报和漏报食品安全事故重要情况或者应急管理工作中有其他失职、渎职行为的，依法追究有关责任单位或责任人的责任；构成犯罪的，依法追究刑事责任。</w:t>
      </w:r>
    </w:p>
    <w:p w14:paraId="674A15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5.3总结评估</w:t>
      </w:r>
    </w:p>
    <w:p w14:paraId="5B10033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食品安全事故善后处置工作结束后，根据《中华人民共和国突发事件应对法》《中华人民共和国食品安全法》等有关法律规定，市场监管部门应当依法组织有关部门及时对食品安全事故和应急处置工作进行总结，分析事故原因和影响因素，评估应急处置工作开展情况和效果，提出对类似事故的防范和处置建议，认真总结应急工作的经验教训，并据此进一步修订完善相关预案，形成总结评估报告。</w:t>
      </w:r>
    </w:p>
    <w:p w14:paraId="6104F70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6.应急保障</w:t>
      </w:r>
    </w:p>
    <w:p w14:paraId="33E19C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6.1人员保障</w:t>
      </w:r>
    </w:p>
    <w:p w14:paraId="18FB1C7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食品安全监管</w:t>
      </w:r>
      <w:r>
        <w:rPr>
          <w:rFonts w:hint="eastAsia" w:ascii="仿宋" w:hAnsi="仿宋" w:eastAsia="仿宋" w:cs="仿宋"/>
          <w:sz w:val="32"/>
          <w:szCs w:val="32"/>
          <w:lang w:eastAsia="zh-CN"/>
        </w:rPr>
        <w:t>（</w:t>
      </w:r>
      <w:r>
        <w:rPr>
          <w:rFonts w:hint="eastAsia" w:ascii="仿宋" w:hAnsi="仿宋" w:eastAsia="仿宋" w:cs="仿宋"/>
          <w:sz w:val="32"/>
          <w:szCs w:val="32"/>
        </w:rPr>
        <w:t>主管</w:t>
      </w:r>
      <w:r>
        <w:rPr>
          <w:rFonts w:hint="eastAsia" w:ascii="仿宋" w:hAnsi="仿宋" w:eastAsia="仿宋" w:cs="仿宋"/>
          <w:sz w:val="32"/>
          <w:szCs w:val="32"/>
          <w:lang w:eastAsia="zh-CN"/>
        </w:rPr>
        <w:t>）</w:t>
      </w:r>
      <w:r>
        <w:rPr>
          <w:rFonts w:hint="eastAsia" w:ascii="仿宋" w:hAnsi="仿宋" w:eastAsia="仿宋" w:cs="仿宋"/>
          <w:sz w:val="32"/>
          <w:szCs w:val="32"/>
        </w:rPr>
        <w:t>部门应加强应急处置专业力量建设，提高快速响应和应对处置能力，</w:t>
      </w:r>
      <w:r>
        <w:rPr>
          <w:rFonts w:hint="eastAsia" w:ascii="仿宋" w:hAnsi="仿宋" w:eastAsia="仿宋" w:cs="仿宋"/>
          <w:sz w:val="32"/>
          <w:szCs w:val="32"/>
          <w:lang w:eastAsia="zh-CN"/>
        </w:rPr>
        <w:t>区</w:t>
      </w:r>
      <w:r>
        <w:rPr>
          <w:rFonts w:hint="eastAsia" w:ascii="仿宋" w:hAnsi="仿宋" w:eastAsia="仿宋" w:cs="仿宋"/>
          <w:sz w:val="32"/>
          <w:szCs w:val="32"/>
        </w:rPr>
        <w:t>人民政府提供必要支持保障。相关行业领域应急队伍应积极参加食品安全应急处置工作。要健全专家队伍，为事故核实、级别核定、隐患预警及应急响应等相关技术工作提供人才保障。</w:t>
      </w:r>
    </w:p>
    <w:p w14:paraId="5BF92F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6.2技术保障</w:t>
      </w:r>
    </w:p>
    <w:p w14:paraId="590EBF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食品安全事故的技术检测、评估、鉴定，须由具有法定资质的机构承担。发生食品安全事故时，具有法定资质的机构受政府部门委托，立即采集样本，按照标准要求实施检测，为食品安全事故定性提供科学依据。必要时可委托互不隶属的机构“同步采样、分别检测、结果比对”,提高结果的准确性和权威性。有关部门要加强食品安全监测、预警、预防和应急处置等技术研发，构建食品安全智慧应急指挥系统，实现智能化、数据化，确保决策的科学性。</w:t>
      </w:r>
    </w:p>
    <w:p w14:paraId="47ADCC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6.3信息保障</w:t>
      </w:r>
    </w:p>
    <w:p w14:paraId="7C9FC5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市场监管部门会同有关监管部门建立包括食品安全监测、事故报告与通报、食品安全事故隐患预警等内容在内的食品安全信息网络体系；会同卫健部门建立健全医疗救治信息网络，实现信息共享；负责食品安全信息网络体系的统一管理；设立信息报告和举报电话，畅通信息报告渠道，确保食品安全事故报告与相关信息收集的时效性。相关单位内部及部门间设立通讯联系方式。人员信息变动应及时报应急指挥部办公室适时更新。</w:t>
      </w:r>
    </w:p>
    <w:p w14:paraId="547F5E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6.4医疗保障</w:t>
      </w:r>
    </w:p>
    <w:p w14:paraId="2B69424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卫健部门建立功能完善、反应灵敏、运转协调、持续发展的医疗救治与疾病控制体系，在食品安全事故造成人员伤害时迅速开展医疗救治。</w:t>
      </w:r>
    </w:p>
    <w:p w14:paraId="7AB471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楷体" w:hAnsi="楷体" w:eastAsia="楷体" w:cs="楷体"/>
          <w:sz w:val="32"/>
          <w:szCs w:val="32"/>
        </w:rPr>
        <w:t>6.5物资与经费保障</w:t>
      </w:r>
    </w:p>
    <w:p w14:paraId="647F62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应急处置所需设施、设备、物资</w:t>
      </w:r>
      <w:r>
        <w:rPr>
          <w:rFonts w:hint="eastAsia" w:ascii="仿宋" w:hAnsi="仿宋" w:eastAsia="仿宋" w:cs="仿宋"/>
          <w:sz w:val="32"/>
          <w:szCs w:val="32"/>
          <w:lang w:eastAsia="zh-CN"/>
        </w:rPr>
        <w:t>（</w:t>
      </w:r>
      <w:r>
        <w:rPr>
          <w:rFonts w:hint="eastAsia" w:ascii="仿宋" w:hAnsi="仿宋" w:eastAsia="仿宋" w:cs="仿宋"/>
          <w:sz w:val="32"/>
          <w:szCs w:val="32"/>
        </w:rPr>
        <w:t>包括控制食品安全事故所需药品、试剂、检测设施等</w:t>
      </w:r>
      <w:r>
        <w:rPr>
          <w:rFonts w:hint="eastAsia" w:ascii="仿宋" w:hAnsi="仿宋" w:eastAsia="仿宋" w:cs="仿宋"/>
          <w:sz w:val="32"/>
          <w:szCs w:val="32"/>
          <w:lang w:eastAsia="zh-CN"/>
        </w:rPr>
        <w:t>）</w:t>
      </w:r>
      <w:r>
        <w:rPr>
          <w:rFonts w:hint="eastAsia" w:ascii="仿宋" w:hAnsi="仿宋" w:eastAsia="仿宋" w:cs="仿宋"/>
          <w:sz w:val="32"/>
          <w:szCs w:val="32"/>
        </w:rPr>
        <w:t>的储备与调用应当得到保障；使用储备物资后及时补充；食品安全事故应急处置、产品抽样及检验等所需经费应当列入</w:t>
      </w:r>
      <w:r>
        <w:rPr>
          <w:rFonts w:hint="eastAsia" w:ascii="仿宋" w:hAnsi="仿宋" w:eastAsia="仿宋" w:cs="仿宋"/>
          <w:sz w:val="32"/>
          <w:szCs w:val="32"/>
          <w:lang w:eastAsia="zh-CN"/>
        </w:rPr>
        <w:t>区</w:t>
      </w:r>
      <w:r>
        <w:rPr>
          <w:rFonts w:hint="eastAsia" w:ascii="仿宋" w:hAnsi="仿宋" w:eastAsia="仿宋" w:cs="仿宋"/>
          <w:sz w:val="32"/>
          <w:szCs w:val="32"/>
        </w:rPr>
        <w:t>人民政府年度财政预算，保障应急资金。</w:t>
      </w:r>
    </w:p>
    <w:p w14:paraId="1899EDB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6.6社会动员保障</w:t>
      </w:r>
    </w:p>
    <w:p w14:paraId="21A9141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根据食品安全事故应急处置的需要，动员和组织社会力量协助参与应急处置，必要时依法调用企业及个人物资。在动用社会力量或企业、个人物资进行应急处置后，应当及时归还或给予补偿。</w:t>
      </w:r>
    </w:p>
    <w:p w14:paraId="466989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6.7宣教培训保障</w:t>
      </w:r>
    </w:p>
    <w:p w14:paraId="2E02F5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各有关部门应当加强对食品安全专业人员、食品生产经营者及广大消费者的食品安全知识宣传、教育与培训，促进专业人员掌握食品安全相关工作技能，增强食品生产经营者的责任意识，增强消费者的风险意识和防范能力。</w:t>
      </w:r>
    </w:p>
    <w:p w14:paraId="5A1965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6.8场所控制及治安保障</w:t>
      </w:r>
    </w:p>
    <w:p w14:paraId="177D59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公安部门按照有关规定，参与现场处置和治安维护工作，加强对重点地区、重点场所、重点人群、重要物资和设备的安全保护，依法采取有效管制措施，严厉打击违法犯罪活动。</w:t>
      </w:r>
    </w:p>
    <w:p w14:paraId="0F5DF4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6.9交通运输保障</w:t>
      </w:r>
    </w:p>
    <w:p w14:paraId="48F820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交通运输部门负责协助提供食品安全事故应急处置中的道路、水路交通运力保障。</w:t>
      </w:r>
    </w:p>
    <w:p w14:paraId="5877C2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扎赉诺尔区</w:t>
      </w:r>
      <w:r>
        <w:rPr>
          <w:rFonts w:hint="eastAsia" w:ascii="仿宋" w:hAnsi="仿宋" w:eastAsia="仿宋" w:cs="仿宋"/>
          <w:sz w:val="32"/>
          <w:szCs w:val="32"/>
        </w:rPr>
        <w:t>食品生产经营者、学校</w:t>
      </w:r>
      <w:r>
        <w:rPr>
          <w:rFonts w:hint="eastAsia" w:ascii="仿宋" w:hAnsi="仿宋" w:eastAsia="仿宋" w:cs="仿宋"/>
          <w:sz w:val="32"/>
          <w:szCs w:val="32"/>
          <w:lang w:eastAsia="zh-CN"/>
        </w:rPr>
        <w:t>（</w:t>
      </w:r>
      <w:r>
        <w:rPr>
          <w:rFonts w:hint="eastAsia" w:ascii="仿宋" w:hAnsi="仿宋" w:eastAsia="仿宋" w:cs="仿宋"/>
          <w:sz w:val="32"/>
          <w:szCs w:val="32"/>
        </w:rPr>
        <w:t>含托幼机构</w:t>
      </w:r>
      <w:r>
        <w:rPr>
          <w:rFonts w:hint="eastAsia" w:ascii="仿宋" w:hAnsi="仿宋" w:eastAsia="仿宋" w:cs="仿宋"/>
          <w:sz w:val="32"/>
          <w:szCs w:val="32"/>
          <w:lang w:eastAsia="zh-CN"/>
        </w:rPr>
        <w:t>）</w:t>
      </w:r>
      <w:r>
        <w:rPr>
          <w:rFonts w:hint="eastAsia" w:ascii="仿宋" w:hAnsi="仿宋" w:eastAsia="仿宋" w:cs="仿宋"/>
          <w:sz w:val="32"/>
          <w:szCs w:val="32"/>
        </w:rPr>
        <w:t>、医院、养老院、机关、建筑工地</w:t>
      </w:r>
      <w:r>
        <w:rPr>
          <w:rFonts w:hint="eastAsia" w:ascii="仿宋" w:hAnsi="仿宋" w:eastAsia="仿宋" w:cs="仿宋"/>
          <w:sz w:val="32"/>
          <w:szCs w:val="32"/>
          <w:lang w:eastAsia="zh-CN"/>
        </w:rPr>
        <w:t>、</w:t>
      </w:r>
      <w:r>
        <w:rPr>
          <w:rFonts w:hint="eastAsia" w:ascii="仿宋" w:hAnsi="仿宋" w:eastAsia="仿宋" w:cs="仿宋"/>
          <w:sz w:val="32"/>
          <w:szCs w:val="32"/>
        </w:rPr>
        <w:t>旅游景区、养老机构等集中用餐单位，提供餐饮服务的铁路运营单位等，应制定本单位食品安全事故处置方案，开展食品安全事故应急处置培训和演练。企业食品安全总监、食品安全员等食品安全管理人员应协助企业主要负责人定期检查落实，及时消除食品安全事故隐患。</w:t>
      </w:r>
    </w:p>
    <w:p w14:paraId="34D4C8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7.附则</w:t>
      </w:r>
    </w:p>
    <w:p w14:paraId="6BF4D7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7.1预案管理</w:t>
      </w:r>
    </w:p>
    <w:p w14:paraId="7EB4B8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7.1.1有下列情形之一，预案编制单位应当及时修订预案：</w:t>
      </w:r>
    </w:p>
    <w:p w14:paraId="626C773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1</w:t>
      </w:r>
      <w:r>
        <w:rPr>
          <w:rFonts w:hint="eastAsia" w:ascii="仿宋" w:hAnsi="仿宋" w:eastAsia="仿宋" w:cs="仿宋"/>
          <w:sz w:val="32"/>
          <w:szCs w:val="32"/>
          <w:lang w:eastAsia="zh-CN"/>
        </w:rPr>
        <w:t>）</w:t>
      </w:r>
      <w:r>
        <w:rPr>
          <w:rFonts w:hint="eastAsia" w:ascii="仿宋" w:hAnsi="仿宋" w:eastAsia="仿宋" w:cs="仿宋"/>
          <w:sz w:val="32"/>
          <w:szCs w:val="32"/>
        </w:rPr>
        <w:t>有关法律法规、规章、上位预案中的有关规定发生变化；</w:t>
      </w:r>
    </w:p>
    <w:p w14:paraId="3C48F57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2</w:t>
      </w:r>
      <w:r>
        <w:rPr>
          <w:rFonts w:hint="eastAsia" w:ascii="仿宋" w:hAnsi="仿宋" w:eastAsia="仿宋" w:cs="仿宋"/>
          <w:sz w:val="32"/>
          <w:szCs w:val="32"/>
          <w:lang w:eastAsia="zh-CN"/>
        </w:rPr>
        <w:t>）</w:t>
      </w:r>
      <w:r>
        <w:rPr>
          <w:rFonts w:hint="eastAsia" w:ascii="仿宋" w:hAnsi="仿宋" w:eastAsia="仿宋" w:cs="仿宋"/>
          <w:sz w:val="32"/>
          <w:szCs w:val="32"/>
        </w:rPr>
        <w:t>应急指挥机构及其职责发生重大调整；</w:t>
      </w:r>
    </w:p>
    <w:p w14:paraId="0DD00F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3</w:t>
      </w:r>
      <w:r>
        <w:rPr>
          <w:rFonts w:hint="eastAsia" w:ascii="仿宋" w:hAnsi="仿宋" w:eastAsia="仿宋" w:cs="仿宋"/>
          <w:sz w:val="32"/>
          <w:szCs w:val="32"/>
          <w:lang w:eastAsia="zh-CN"/>
        </w:rPr>
        <w:t>）</w:t>
      </w:r>
      <w:r>
        <w:rPr>
          <w:rFonts w:hint="eastAsia" w:ascii="仿宋" w:hAnsi="仿宋" w:eastAsia="仿宋" w:cs="仿宋"/>
          <w:sz w:val="32"/>
          <w:szCs w:val="32"/>
        </w:rPr>
        <w:t>在食品安全事故实际应对和应急演练中发现重大问题；</w:t>
      </w:r>
    </w:p>
    <w:p w14:paraId="75D7BD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rPr>
        <w:t>4</w:t>
      </w:r>
      <w:r>
        <w:rPr>
          <w:rFonts w:hint="eastAsia" w:ascii="仿宋" w:hAnsi="仿宋" w:eastAsia="仿宋" w:cs="仿宋"/>
          <w:sz w:val="32"/>
          <w:szCs w:val="32"/>
          <w:lang w:eastAsia="zh-CN"/>
        </w:rPr>
        <w:t>）</w:t>
      </w:r>
      <w:r>
        <w:rPr>
          <w:rFonts w:hint="eastAsia" w:ascii="仿宋" w:hAnsi="仿宋" w:eastAsia="仿宋" w:cs="仿宋"/>
          <w:sz w:val="32"/>
          <w:szCs w:val="32"/>
        </w:rPr>
        <w:t>预案编制单位认为应当修订的其他情况。</w:t>
      </w:r>
    </w:p>
    <w:p w14:paraId="2B0213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7.1.2</w:t>
      </w:r>
      <w:r>
        <w:rPr>
          <w:rFonts w:hint="eastAsia" w:ascii="仿宋" w:hAnsi="仿宋" w:eastAsia="仿宋" w:cs="仿宋"/>
          <w:sz w:val="32"/>
          <w:szCs w:val="32"/>
          <w:lang w:eastAsia="zh-CN"/>
        </w:rPr>
        <w:t>区</w:t>
      </w:r>
      <w:r>
        <w:rPr>
          <w:rFonts w:hint="eastAsia" w:ascii="仿宋" w:hAnsi="仿宋" w:eastAsia="仿宋" w:cs="仿宋"/>
          <w:sz w:val="32"/>
          <w:szCs w:val="32"/>
        </w:rPr>
        <w:t>各职能部门要在本预案框架下，制定相应的食品安全事故部门处置工作预案。</w:t>
      </w:r>
    </w:p>
    <w:p w14:paraId="3694E8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7.1.3食品生产经营单位作为食品安全第一责任人，应当依据《中华人民共和国食品安全法》以及国家有关法律和法规的规定、辖区人民政府的食品安全事故预案以及本单位的实际情况制定本企业食品安全事故处置工作预案。</w:t>
      </w:r>
    </w:p>
    <w:p w14:paraId="3842F1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eastAsia="zh-CN"/>
        </w:rPr>
        <w:t>非食品生产经营行为造成的食品安全事故的处理参照本预案执行。</w:t>
      </w:r>
    </w:p>
    <w:p w14:paraId="3A8BF5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7.2预案演练</w:t>
      </w:r>
    </w:p>
    <w:p w14:paraId="664F9C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预案编制单位根据</w:t>
      </w:r>
      <w:r>
        <w:rPr>
          <w:rFonts w:hint="eastAsia" w:ascii="仿宋" w:hAnsi="仿宋" w:eastAsia="仿宋" w:cs="仿宋"/>
          <w:sz w:val="32"/>
          <w:szCs w:val="32"/>
          <w:highlight w:val="none"/>
        </w:rPr>
        <w:t>实际情况采取桌面演练、实战演练等方式，</w:t>
      </w:r>
      <w:r>
        <w:rPr>
          <w:rFonts w:hint="eastAsia" w:ascii="仿宋" w:hAnsi="仿宋" w:eastAsia="仿宋" w:cs="仿宋"/>
          <w:sz w:val="32"/>
          <w:szCs w:val="32"/>
          <w:highlight w:val="none"/>
          <w:lang w:eastAsia="zh-CN"/>
        </w:rPr>
        <w:t>定期组织开展</w:t>
      </w:r>
      <w:r>
        <w:rPr>
          <w:rFonts w:hint="eastAsia" w:ascii="仿宋" w:hAnsi="仿宋" w:eastAsia="仿宋" w:cs="仿宋"/>
          <w:sz w:val="32"/>
          <w:szCs w:val="32"/>
          <w:highlight w:val="none"/>
        </w:rPr>
        <w:t>食品安全事故应急演练，对其中的具体环节进行检</w:t>
      </w:r>
      <w:r>
        <w:rPr>
          <w:rFonts w:hint="eastAsia" w:ascii="仿宋" w:hAnsi="仿宋" w:eastAsia="仿宋" w:cs="仿宋"/>
          <w:sz w:val="32"/>
          <w:szCs w:val="32"/>
        </w:rPr>
        <w:t>验和修正，提高应急反应的效率和应变能力。</w:t>
      </w:r>
    </w:p>
    <w:p w14:paraId="0151AA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7.3制定与解释</w:t>
      </w:r>
    </w:p>
    <w:p w14:paraId="12BAED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本预案由呼伦贝尔市</w:t>
      </w:r>
      <w:r>
        <w:rPr>
          <w:rFonts w:hint="eastAsia" w:ascii="仿宋" w:hAnsi="仿宋" w:eastAsia="仿宋" w:cs="仿宋"/>
          <w:sz w:val="32"/>
          <w:szCs w:val="32"/>
          <w:lang w:eastAsia="zh-CN"/>
        </w:rPr>
        <w:t>扎赉诺尔区</w:t>
      </w:r>
      <w:r>
        <w:rPr>
          <w:rFonts w:hint="eastAsia" w:ascii="仿宋" w:hAnsi="仿宋" w:eastAsia="仿宋" w:cs="仿宋"/>
          <w:sz w:val="32"/>
          <w:szCs w:val="32"/>
        </w:rPr>
        <w:t>市场监督管理局制定并负责解释。</w:t>
      </w:r>
    </w:p>
    <w:p w14:paraId="67B7D7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7.4预案实施</w:t>
      </w:r>
    </w:p>
    <w:p w14:paraId="5C6F60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本预案自印发之日起实施，《呼伦贝尔市</w:t>
      </w:r>
      <w:r>
        <w:rPr>
          <w:rFonts w:hint="eastAsia" w:ascii="仿宋" w:hAnsi="仿宋" w:eastAsia="仿宋" w:cs="仿宋"/>
          <w:sz w:val="32"/>
          <w:szCs w:val="32"/>
          <w:lang w:eastAsia="zh-CN"/>
        </w:rPr>
        <w:t>扎赉诺尔区人民政府办公室关于印发扎赉诺尔区</w:t>
      </w:r>
      <w:r>
        <w:rPr>
          <w:rFonts w:hint="eastAsia" w:ascii="仿宋" w:hAnsi="仿宋" w:eastAsia="仿宋" w:cs="仿宋"/>
          <w:sz w:val="32"/>
          <w:szCs w:val="32"/>
        </w:rPr>
        <w:t>食品安全事故应急预案</w:t>
      </w:r>
      <w:r>
        <w:rPr>
          <w:rFonts w:hint="eastAsia" w:ascii="仿宋" w:hAnsi="仿宋" w:eastAsia="仿宋" w:cs="仿宋"/>
          <w:sz w:val="32"/>
          <w:szCs w:val="32"/>
          <w:lang w:eastAsia="zh-CN"/>
        </w:rPr>
        <w:t>（</w:t>
      </w:r>
      <w:r>
        <w:rPr>
          <w:rFonts w:hint="eastAsia" w:ascii="仿宋" w:hAnsi="仿宋" w:eastAsia="仿宋" w:cs="仿宋"/>
          <w:sz w:val="32"/>
          <w:szCs w:val="32"/>
        </w:rPr>
        <w:t>试行</w:t>
      </w:r>
      <w:r>
        <w:rPr>
          <w:rFonts w:hint="eastAsia" w:ascii="仿宋" w:hAnsi="仿宋" w:eastAsia="仿宋" w:cs="仿宋"/>
          <w:sz w:val="32"/>
          <w:szCs w:val="32"/>
          <w:lang w:eastAsia="zh-CN"/>
        </w:rPr>
        <w:t>）的通知</w:t>
      </w:r>
      <w:r>
        <w:rPr>
          <w:rFonts w:hint="eastAsia" w:ascii="仿宋" w:hAnsi="仿宋" w:eastAsia="仿宋" w:cs="仿宋"/>
          <w:sz w:val="32"/>
          <w:szCs w:val="32"/>
        </w:rPr>
        <w:t>》</w:t>
      </w:r>
      <w:r>
        <w:rPr>
          <w:rFonts w:hint="eastAsia" w:ascii="仿宋" w:hAnsi="仿宋" w:eastAsia="仿宋" w:cs="仿宋"/>
          <w:sz w:val="32"/>
          <w:szCs w:val="32"/>
          <w:lang w:eastAsia="zh-CN"/>
        </w:rPr>
        <w:t>（扎政办字</w:t>
      </w:r>
      <w:r>
        <w:rPr>
          <w:rFonts w:hint="eastAsia" w:ascii="仿宋" w:hAnsi="仿宋" w:eastAsia="仿宋" w:cs="仿宋"/>
          <w:sz w:val="32"/>
          <w:szCs w:val="32"/>
        </w:rPr>
        <w:t>〔201</w:t>
      </w:r>
      <w:r>
        <w:rPr>
          <w:rFonts w:hint="eastAsia" w:ascii="仿宋" w:hAnsi="仿宋" w:eastAsia="仿宋" w:cs="仿宋"/>
          <w:sz w:val="32"/>
          <w:szCs w:val="32"/>
          <w:lang w:val="en-US" w:eastAsia="zh-CN"/>
        </w:rPr>
        <w:t>9</w:t>
      </w:r>
      <w:r>
        <w:rPr>
          <w:rFonts w:hint="eastAsia" w:ascii="仿宋" w:hAnsi="仿宋" w:eastAsia="仿宋" w:cs="仿宋"/>
          <w:sz w:val="32"/>
          <w:szCs w:val="32"/>
        </w:rPr>
        <w:t>〕</w:t>
      </w:r>
      <w:r>
        <w:rPr>
          <w:rFonts w:hint="eastAsia" w:ascii="仿宋" w:hAnsi="仿宋" w:eastAsia="仿宋" w:cs="仿宋"/>
          <w:sz w:val="32"/>
          <w:szCs w:val="32"/>
          <w:lang w:val="en-US" w:eastAsia="zh-CN"/>
        </w:rPr>
        <w:t>37</w:t>
      </w:r>
      <w:r>
        <w:rPr>
          <w:rFonts w:hint="eastAsia" w:ascii="仿宋" w:hAnsi="仿宋" w:eastAsia="仿宋" w:cs="仿宋"/>
          <w:sz w:val="32"/>
          <w:szCs w:val="32"/>
        </w:rPr>
        <w:t>号</w:t>
      </w:r>
      <w:r>
        <w:rPr>
          <w:rFonts w:hint="eastAsia" w:ascii="仿宋" w:hAnsi="仿宋" w:eastAsia="仿宋" w:cs="仿宋"/>
          <w:sz w:val="32"/>
          <w:szCs w:val="32"/>
          <w:lang w:eastAsia="zh-CN"/>
        </w:rPr>
        <w:t>）</w:t>
      </w:r>
      <w:r>
        <w:rPr>
          <w:rFonts w:hint="eastAsia" w:ascii="仿宋" w:hAnsi="仿宋" w:eastAsia="仿宋" w:cs="仿宋"/>
          <w:sz w:val="32"/>
          <w:szCs w:val="32"/>
        </w:rPr>
        <w:t>同时废止。</w:t>
      </w:r>
    </w:p>
    <w:p w14:paraId="295DE9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14:paraId="50B6B9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14:paraId="79AAD6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附件：1.食品安全事故分级标准和响应规定</w:t>
      </w:r>
    </w:p>
    <w:p w14:paraId="4C086397">
      <w:pPr>
        <w:keepNext w:val="0"/>
        <w:keepLines w:val="0"/>
        <w:pageBreakBefore w:val="0"/>
        <w:widowControl w:val="0"/>
        <w:kinsoku/>
        <w:wordWrap/>
        <w:overflowPunct/>
        <w:topLinePunct w:val="0"/>
        <w:autoSpaceDE/>
        <w:autoSpaceDN/>
        <w:bidi w:val="0"/>
        <w:adjustRightInd/>
        <w:snapToGrid/>
        <w:spacing w:line="560" w:lineRule="exact"/>
        <w:ind w:firstLine="1600" w:firstLineChars="500"/>
        <w:textAlignment w:val="auto"/>
        <w:rPr>
          <w:rFonts w:hint="eastAsia" w:ascii="仿宋" w:hAnsi="仿宋" w:eastAsia="仿宋" w:cs="仿宋"/>
          <w:sz w:val="32"/>
          <w:szCs w:val="32"/>
        </w:rPr>
      </w:pPr>
      <w:r>
        <w:rPr>
          <w:rFonts w:hint="eastAsia" w:ascii="仿宋" w:hAnsi="仿宋" w:eastAsia="仿宋" w:cs="仿宋"/>
          <w:sz w:val="32"/>
          <w:szCs w:val="32"/>
        </w:rPr>
        <w:t>2.应急指挥部成员单位职责</w:t>
      </w:r>
    </w:p>
    <w:p w14:paraId="0A50D1E2">
      <w:pPr>
        <w:rPr>
          <w:rFonts w:ascii="黑体" w:hAnsi="黑体" w:eastAsia="黑体" w:cs="黑体"/>
          <w:b/>
          <w:bCs/>
          <w:spacing w:val="10"/>
          <w:sz w:val="22"/>
          <w:szCs w:val="22"/>
        </w:rPr>
      </w:pPr>
      <w:r>
        <w:rPr>
          <w:rFonts w:ascii="黑体" w:hAnsi="黑体" w:eastAsia="黑体" w:cs="黑体"/>
          <w:b/>
          <w:bCs/>
          <w:spacing w:val="10"/>
          <w:sz w:val="22"/>
          <w:szCs w:val="22"/>
        </w:rPr>
        <w:br w:type="page"/>
      </w:r>
    </w:p>
    <w:p w14:paraId="3EEB03A5">
      <w:pPr>
        <w:spacing w:before="119" w:line="224" w:lineRule="auto"/>
        <w:rPr>
          <w:rFonts w:ascii="黑体" w:hAnsi="黑体" w:eastAsia="黑体" w:cs="黑体"/>
          <w:b w:val="0"/>
          <w:bCs w:val="0"/>
          <w:sz w:val="32"/>
          <w:szCs w:val="32"/>
        </w:rPr>
      </w:pPr>
      <w:r>
        <w:rPr>
          <w:rFonts w:ascii="黑体" w:hAnsi="黑体" w:eastAsia="黑体" w:cs="黑体"/>
          <w:b w:val="0"/>
          <w:bCs w:val="0"/>
          <w:spacing w:val="10"/>
          <w:sz w:val="32"/>
          <w:szCs w:val="32"/>
        </w:rPr>
        <w:t>附件1</w:t>
      </w:r>
    </w:p>
    <w:p w14:paraId="2D4626A9">
      <w:pPr>
        <w:spacing w:before="83" w:line="213" w:lineRule="auto"/>
        <w:ind w:left="2211"/>
        <w:rPr>
          <w:rFonts w:ascii="宋体" w:hAnsi="宋体" w:eastAsia="宋体" w:cs="宋体"/>
          <w:sz w:val="32"/>
          <w:szCs w:val="32"/>
        </w:rPr>
      </w:pPr>
      <w:r>
        <w:rPr>
          <w:rFonts w:ascii="宋体" w:hAnsi="宋体" w:eastAsia="宋体" w:cs="宋体"/>
          <w:b/>
          <w:bCs/>
          <w:spacing w:val="-3"/>
          <w:sz w:val="32"/>
          <w:szCs w:val="32"/>
        </w:rPr>
        <w:t>食品安全事故分级标准和响应规定</w:t>
      </w:r>
    </w:p>
    <w:tbl>
      <w:tblPr>
        <w:tblStyle w:val="7"/>
        <w:tblW w:w="10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4"/>
        <w:gridCol w:w="7342"/>
        <w:gridCol w:w="1557"/>
      </w:tblGrid>
      <w:tr w14:paraId="6525F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jc w:val="center"/>
        </w:trPr>
        <w:tc>
          <w:tcPr>
            <w:tcW w:w="1104" w:type="dxa"/>
            <w:vAlign w:val="center"/>
          </w:tcPr>
          <w:p w14:paraId="54EA7972">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sz w:val="21"/>
                <w:szCs w:val="21"/>
              </w:rPr>
            </w:pPr>
            <w:r>
              <w:rPr>
                <w:b/>
                <w:bCs/>
                <w:spacing w:val="-4"/>
                <w:sz w:val="21"/>
                <w:szCs w:val="21"/>
              </w:rPr>
              <w:t>级别</w:t>
            </w:r>
          </w:p>
        </w:tc>
        <w:tc>
          <w:tcPr>
            <w:tcW w:w="7342" w:type="dxa"/>
            <w:vAlign w:val="center"/>
          </w:tcPr>
          <w:p w14:paraId="1BBCB393">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sz w:val="21"/>
                <w:szCs w:val="21"/>
              </w:rPr>
            </w:pPr>
            <w:r>
              <w:rPr>
                <w:b/>
                <w:bCs/>
                <w:spacing w:val="-5"/>
                <w:sz w:val="21"/>
                <w:szCs w:val="21"/>
              </w:rPr>
              <w:t>标</w:t>
            </w:r>
            <w:r>
              <w:rPr>
                <w:rFonts w:hint="eastAsia"/>
                <w:b/>
                <w:bCs/>
                <w:spacing w:val="-5"/>
                <w:sz w:val="21"/>
                <w:szCs w:val="21"/>
                <w:lang w:val="en-US" w:eastAsia="zh-CN"/>
              </w:rPr>
              <w:t xml:space="preserve">  </w:t>
            </w:r>
            <w:r>
              <w:rPr>
                <w:b/>
                <w:bCs/>
                <w:spacing w:val="-5"/>
                <w:sz w:val="21"/>
                <w:szCs w:val="21"/>
              </w:rPr>
              <w:t>准</w:t>
            </w:r>
          </w:p>
        </w:tc>
        <w:tc>
          <w:tcPr>
            <w:tcW w:w="1557" w:type="dxa"/>
            <w:vAlign w:val="center"/>
          </w:tcPr>
          <w:p w14:paraId="704869AC">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sz w:val="21"/>
                <w:szCs w:val="21"/>
              </w:rPr>
            </w:pPr>
            <w:r>
              <w:rPr>
                <w:b/>
                <w:bCs/>
                <w:sz w:val="21"/>
                <w:szCs w:val="21"/>
              </w:rPr>
              <w:t>响应级别</w:t>
            </w:r>
          </w:p>
        </w:tc>
      </w:tr>
      <w:tr w14:paraId="5B7DF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jc w:val="center"/>
        </w:trPr>
        <w:tc>
          <w:tcPr>
            <w:tcW w:w="1104" w:type="dxa"/>
            <w:vAlign w:val="center"/>
          </w:tcPr>
          <w:p w14:paraId="773EC6D8">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21"/>
              </w:rPr>
            </w:pPr>
            <w:r>
              <w:rPr>
                <w:rFonts w:hint="eastAsia" w:ascii="楷体" w:hAnsi="楷体" w:eastAsia="楷体" w:cs="楷体"/>
                <w:spacing w:val="2"/>
                <w:sz w:val="21"/>
                <w:szCs w:val="21"/>
              </w:rPr>
              <w:t>特别重大食品</w:t>
            </w:r>
            <w:r>
              <w:rPr>
                <w:rFonts w:hint="eastAsia" w:ascii="楷体" w:hAnsi="楷体" w:eastAsia="楷体" w:cs="楷体"/>
                <w:spacing w:val="-2"/>
                <w:sz w:val="21"/>
                <w:szCs w:val="21"/>
              </w:rPr>
              <w:t>安全事故</w:t>
            </w:r>
          </w:p>
        </w:tc>
        <w:tc>
          <w:tcPr>
            <w:tcW w:w="7342" w:type="dxa"/>
            <w:vAlign w:val="center"/>
          </w:tcPr>
          <w:p w14:paraId="73860D3C">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pacing w:val="2"/>
                <w:sz w:val="21"/>
                <w:szCs w:val="21"/>
              </w:rPr>
              <w:t>一、事故危害特别严重，对2个以上</w:t>
            </w:r>
            <w:r>
              <w:rPr>
                <w:rFonts w:hint="eastAsia" w:ascii="楷体" w:hAnsi="楷体" w:eastAsia="楷体" w:cs="楷体"/>
                <w:spacing w:val="2"/>
                <w:sz w:val="21"/>
                <w:szCs w:val="21"/>
                <w:lang w:eastAsia="zh-CN"/>
              </w:rPr>
              <w:t>（</w:t>
            </w:r>
            <w:r>
              <w:rPr>
                <w:rFonts w:hint="eastAsia" w:ascii="楷体" w:hAnsi="楷体" w:eastAsia="楷体" w:cs="楷体"/>
                <w:spacing w:val="2"/>
                <w:sz w:val="21"/>
                <w:szCs w:val="21"/>
              </w:rPr>
              <w:t>含本数，下同</w:t>
            </w:r>
            <w:r>
              <w:rPr>
                <w:rFonts w:hint="eastAsia" w:ascii="楷体" w:hAnsi="楷体" w:eastAsia="楷体" w:cs="楷体"/>
                <w:spacing w:val="2"/>
                <w:sz w:val="21"/>
                <w:szCs w:val="21"/>
                <w:lang w:eastAsia="zh-CN"/>
              </w:rPr>
              <w:t>）</w:t>
            </w:r>
            <w:r>
              <w:rPr>
                <w:rFonts w:hint="eastAsia" w:ascii="楷体" w:hAnsi="楷体" w:eastAsia="楷体" w:cs="楷体"/>
                <w:spacing w:val="2"/>
                <w:sz w:val="21"/>
                <w:szCs w:val="21"/>
              </w:rPr>
              <w:t>省份造成严重成胁，并有进一</w:t>
            </w:r>
            <w:r>
              <w:rPr>
                <w:rFonts w:hint="eastAsia" w:ascii="楷体" w:hAnsi="楷体" w:eastAsia="楷体" w:cs="楷体"/>
                <w:spacing w:val="1"/>
                <w:sz w:val="21"/>
                <w:szCs w:val="21"/>
              </w:rPr>
              <w:t>步扩散趋势的；</w:t>
            </w:r>
          </w:p>
          <w:p w14:paraId="7EA9FF4B">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pacing w:val="3"/>
                <w:sz w:val="21"/>
                <w:szCs w:val="21"/>
              </w:rPr>
              <w:t>二、超出事发地省级人民政府处置能力</w:t>
            </w:r>
            <w:r>
              <w:rPr>
                <w:rFonts w:hint="eastAsia" w:ascii="楷体" w:hAnsi="楷体" w:eastAsia="楷体" w:cs="楷体"/>
                <w:spacing w:val="3"/>
                <w:sz w:val="21"/>
                <w:szCs w:val="21"/>
                <w:lang w:eastAsia="zh-CN"/>
              </w:rPr>
              <w:t>水平</w:t>
            </w:r>
            <w:r>
              <w:rPr>
                <w:rFonts w:hint="eastAsia" w:ascii="楷体" w:hAnsi="楷体" w:eastAsia="楷体" w:cs="楷体"/>
                <w:spacing w:val="3"/>
                <w:sz w:val="21"/>
                <w:szCs w:val="21"/>
              </w:rPr>
              <w:t>的；</w:t>
            </w:r>
          </w:p>
          <w:p w14:paraId="0A09FA31">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z w:val="21"/>
                <w:szCs w:val="21"/>
              </w:rPr>
              <w:t>三、发生跨境</w:t>
            </w:r>
            <w:r>
              <w:rPr>
                <w:rFonts w:hint="eastAsia" w:ascii="楷体" w:hAnsi="楷体" w:eastAsia="楷体" w:cs="楷体"/>
                <w:sz w:val="21"/>
                <w:szCs w:val="21"/>
                <w:lang w:eastAsia="zh-CN"/>
              </w:rPr>
              <w:t>（</w:t>
            </w:r>
            <w:r>
              <w:rPr>
                <w:rFonts w:hint="eastAsia" w:ascii="楷体" w:hAnsi="楷体" w:eastAsia="楷体" w:cs="楷体"/>
                <w:sz w:val="21"/>
                <w:szCs w:val="21"/>
              </w:rPr>
              <w:t>包括港澳台地区</w:t>
            </w:r>
            <w:r>
              <w:rPr>
                <w:rFonts w:hint="eastAsia" w:ascii="楷体" w:hAnsi="楷体" w:eastAsia="楷体" w:cs="楷体"/>
                <w:sz w:val="21"/>
                <w:szCs w:val="21"/>
                <w:lang w:eastAsia="zh-CN"/>
              </w:rPr>
              <w:t>）</w:t>
            </w:r>
            <w:r>
              <w:rPr>
                <w:rFonts w:hint="eastAsia" w:ascii="楷体" w:hAnsi="楷体" w:eastAsia="楷体" w:cs="楷体"/>
                <w:sz w:val="21"/>
                <w:szCs w:val="21"/>
              </w:rPr>
              <w:t>食品安全事故，造成特别严重社会影响的，经评估应当在国</w:t>
            </w:r>
            <w:r>
              <w:rPr>
                <w:rFonts w:hint="eastAsia" w:ascii="楷体" w:hAnsi="楷体" w:eastAsia="楷体" w:cs="楷体"/>
                <w:spacing w:val="-1"/>
                <w:sz w:val="21"/>
                <w:szCs w:val="21"/>
              </w:rPr>
              <w:t>家层面采取应急</w:t>
            </w:r>
            <w:r>
              <w:rPr>
                <w:rFonts w:hint="eastAsia" w:ascii="楷体" w:hAnsi="楷体" w:eastAsia="楷体" w:cs="楷体"/>
                <w:spacing w:val="6"/>
                <w:sz w:val="21"/>
                <w:szCs w:val="21"/>
              </w:rPr>
              <w:t>措施应对的食品安全事故；</w:t>
            </w:r>
          </w:p>
          <w:p w14:paraId="046AA6FA">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lang w:eastAsia="zh-CN"/>
              </w:rPr>
            </w:pPr>
            <w:r>
              <w:rPr>
                <w:rFonts w:hint="eastAsia" w:ascii="楷体" w:hAnsi="楷体" w:eastAsia="楷体" w:cs="楷体"/>
                <w:spacing w:val="2"/>
                <w:sz w:val="21"/>
                <w:szCs w:val="21"/>
              </w:rPr>
              <w:t>四、国务院认定需要由国务院或国务院</w:t>
            </w:r>
            <w:r>
              <w:rPr>
                <w:rFonts w:hint="eastAsia" w:ascii="楷体" w:hAnsi="楷体" w:eastAsia="楷体" w:cs="楷体"/>
                <w:spacing w:val="2"/>
                <w:sz w:val="21"/>
                <w:szCs w:val="21"/>
                <w:lang w:eastAsia="zh-CN"/>
              </w:rPr>
              <w:t>授权</w:t>
            </w:r>
            <w:r>
              <w:rPr>
                <w:rFonts w:hint="eastAsia" w:ascii="楷体" w:hAnsi="楷体" w:eastAsia="楷体" w:cs="楷体"/>
                <w:spacing w:val="2"/>
                <w:sz w:val="21"/>
                <w:szCs w:val="21"/>
              </w:rPr>
              <w:t>有关部门负责处置的</w:t>
            </w:r>
            <w:r>
              <w:rPr>
                <w:rFonts w:hint="eastAsia" w:ascii="楷体" w:hAnsi="楷体" w:eastAsia="楷体" w:cs="楷体"/>
                <w:spacing w:val="2"/>
                <w:sz w:val="21"/>
                <w:szCs w:val="21"/>
                <w:lang w:eastAsia="zh-CN"/>
              </w:rPr>
              <w:t>。</w:t>
            </w:r>
          </w:p>
        </w:tc>
        <w:tc>
          <w:tcPr>
            <w:tcW w:w="1557" w:type="dxa"/>
            <w:vAlign w:val="center"/>
          </w:tcPr>
          <w:p w14:paraId="2F530175">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21"/>
              </w:rPr>
            </w:pPr>
            <w:r>
              <w:rPr>
                <w:rFonts w:hint="eastAsia" w:ascii="楷体" w:hAnsi="楷体" w:eastAsia="楷体" w:cs="楷体"/>
                <w:spacing w:val="2"/>
                <w:sz w:val="21"/>
                <w:szCs w:val="21"/>
              </w:rPr>
              <w:t>国务院启动I级响应</w:t>
            </w:r>
          </w:p>
        </w:tc>
      </w:tr>
      <w:tr w14:paraId="0033B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 w:hRule="atLeast"/>
          <w:jc w:val="center"/>
        </w:trPr>
        <w:tc>
          <w:tcPr>
            <w:tcW w:w="1104" w:type="dxa"/>
            <w:tcBorders>
              <w:bottom w:val="nil"/>
            </w:tcBorders>
            <w:vAlign w:val="center"/>
          </w:tcPr>
          <w:p w14:paraId="26D8CF3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18"/>
                <w:szCs w:val="32"/>
              </w:rPr>
            </w:pPr>
          </w:p>
        </w:tc>
        <w:tc>
          <w:tcPr>
            <w:tcW w:w="7342" w:type="dxa"/>
            <w:tcBorders>
              <w:bottom w:val="nil"/>
            </w:tcBorders>
            <w:vAlign w:val="center"/>
          </w:tcPr>
          <w:p w14:paraId="7B53BDBA">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z w:val="21"/>
                <w:szCs w:val="21"/>
              </w:rPr>
              <w:t>一、事故危害严重、影响范围涉及自治区内2个盟市以上行政区城的：</w:t>
            </w:r>
          </w:p>
        </w:tc>
        <w:tc>
          <w:tcPr>
            <w:tcW w:w="1557" w:type="dxa"/>
            <w:tcBorders>
              <w:bottom w:val="nil"/>
            </w:tcBorders>
            <w:vAlign w:val="center"/>
          </w:tcPr>
          <w:p w14:paraId="69B22ED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18"/>
                <w:szCs w:val="32"/>
              </w:rPr>
            </w:pPr>
          </w:p>
        </w:tc>
      </w:tr>
      <w:tr w14:paraId="0FB45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 w:hRule="atLeast"/>
          <w:jc w:val="center"/>
        </w:trPr>
        <w:tc>
          <w:tcPr>
            <w:tcW w:w="1104" w:type="dxa"/>
            <w:tcBorders>
              <w:top w:val="nil"/>
              <w:bottom w:val="nil"/>
            </w:tcBorders>
            <w:vAlign w:val="center"/>
          </w:tcPr>
          <w:p w14:paraId="24E8C99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0"/>
                <w:szCs w:val="32"/>
              </w:rPr>
            </w:pPr>
          </w:p>
        </w:tc>
        <w:tc>
          <w:tcPr>
            <w:tcW w:w="7342" w:type="dxa"/>
            <w:tcBorders>
              <w:top w:val="nil"/>
              <w:bottom w:val="nil"/>
            </w:tcBorders>
            <w:vAlign w:val="center"/>
          </w:tcPr>
          <w:p w14:paraId="3417B5C0">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pacing w:val="2"/>
                <w:sz w:val="21"/>
                <w:szCs w:val="21"/>
              </w:rPr>
              <w:t>二、1起食物中毒事故中毒人数100人以上，并出现死亡病例；</w:t>
            </w:r>
          </w:p>
        </w:tc>
        <w:tc>
          <w:tcPr>
            <w:tcW w:w="1557" w:type="dxa"/>
            <w:tcBorders>
              <w:top w:val="nil"/>
              <w:bottom w:val="nil"/>
            </w:tcBorders>
            <w:vAlign w:val="center"/>
          </w:tcPr>
          <w:p w14:paraId="715092D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0"/>
                <w:szCs w:val="32"/>
              </w:rPr>
            </w:pPr>
          </w:p>
        </w:tc>
      </w:tr>
      <w:tr w14:paraId="598F2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jc w:val="center"/>
        </w:trPr>
        <w:tc>
          <w:tcPr>
            <w:tcW w:w="1104" w:type="dxa"/>
            <w:tcBorders>
              <w:top w:val="nil"/>
              <w:bottom w:val="nil"/>
            </w:tcBorders>
            <w:vAlign w:val="center"/>
          </w:tcPr>
          <w:p w14:paraId="065A8C33">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21"/>
              </w:rPr>
            </w:pPr>
            <w:r>
              <w:rPr>
                <w:rFonts w:hint="eastAsia" w:ascii="楷体" w:hAnsi="楷体" w:eastAsia="楷体" w:cs="楷体"/>
                <w:spacing w:val="3"/>
                <w:sz w:val="21"/>
                <w:szCs w:val="21"/>
              </w:rPr>
              <w:t>重大食品</w:t>
            </w:r>
            <w:r>
              <w:rPr>
                <w:rFonts w:hint="eastAsia" w:ascii="楷体" w:hAnsi="楷体" w:eastAsia="楷体" w:cs="楷体"/>
                <w:spacing w:val="-2"/>
                <w:sz w:val="21"/>
                <w:szCs w:val="21"/>
              </w:rPr>
              <w:t>安全事故</w:t>
            </w:r>
          </w:p>
        </w:tc>
        <w:tc>
          <w:tcPr>
            <w:tcW w:w="7342" w:type="dxa"/>
            <w:tcBorders>
              <w:top w:val="nil"/>
              <w:bottom w:val="nil"/>
            </w:tcBorders>
            <w:vAlign w:val="center"/>
          </w:tcPr>
          <w:p w14:paraId="27EED824">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pacing w:val="3"/>
                <w:sz w:val="21"/>
                <w:szCs w:val="21"/>
              </w:rPr>
              <w:t>三、1起食品中毒事故造成10人以上死亡病例的；</w:t>
            </w:r>
          </w:p>
          <w:p w14:paraId="3FFF4B08">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z w:val="21"/>
                <w:szCs w:val="21"/>
              </w:rPr>
              <w:t>四、在全区范围内已经或可能造成重大危害和不良影响，经评估应当在自治区级层面采取应急措施应对的食品</w:t>
            </w:r>
            <w:r>
              <w:rPr>
                <w:rFonts w:hint="eastAsia" w:ascii="楷体" w:hAnsi="楷体" w:eastAsia="楷体" w:cs="楷体"/>
                <w:spacing w:val="15"/>
                <w:sz w:val="21"/>
                <w:szCs w:val="21"/>
              </w:rPr>
              <w:t>安全事故；</w:t>
            </w:r>
          </w:p>
        </w:tc>
        <w:tc>
          <w:tcPr>
            <w:tcW w:w="1557" w:type="dxa"/>
            <w:tcBorders>
              <w:top w:val="nil"/>
              <w:bottom w:val="nil"/>
            </w:tcBorders>
            <w:vAlign w:val="center"/>
          </w:tcPr>
          <w:p w14:paraId="7A8C4732">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21"/>
              </w:rPr>
            </w:pPr>
            <w:r>
              <w:rPr>
                <w:rFonts w:hint="eastAsia" w:ascii="楷体" w:hAnsi="楷体" w:eastAsia="楷体" w:cs="楷体"/>
                <w:sz w:val="21"/>
                <w:szCs w:val="21"/>
                <w:lang w:eastAsia="zh-CN"/>
              </w:rPr>
              <w:t>自</w:t>
            </w:r>
            <w:r>
              <w:rPr>
                <w:rFonts w:hint="eastAsia" w:ascii="楷体" w:hAnsi="楷体" w:eastAsia="楷体" w:cs="楷体"/>
                <w:sz w:val="21"/>
                <w:szCs w:val="21"/>
              </w:rPr>
              <w:t>治区人民政府</w:t>
            </w:r>
          </w:p>
          <w:p w14:paraId="7CD38D56">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21"/>
              </w:rPr>
            </w:pPr>
            <w:r>
              <w:rPr>
                <w:rFonts w:hint="eastAsia" w:ascii="楷体" w:hAnsi="楷体" w:eastAsia="楷体" w:cs="楷体"/>
                <w:spacing w:val="-2"/>
                <w:sz w:val="21"/>
                <w:szCs w:val="21"/>
              </w:rPr>
              <w:t>启动Ⅱ级响应</w:t>
            </w:r>
          </w:p>
        </w:tc>
      </w:tr>
      <w:tr w14:paraId="76655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 w:hRule="atLeast"/>
          <w:jc w:val="center"/>
        </w:trPr>
        <w:tc>
          <w:tcPr>
            <w:tcW w:w="1104" w:type="dxa"/>
            <w:tcBorders>
              <w:top w:val="nil"/>
            </w:tcBorders>
            <w:vAlign w:val="center"/>
          </w:tcPr>
          <w:p w14:paraId="51BEDE2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32"/>
              </w:rPr>
            </w:pPr>
          </w:p>
        </w:tc>
        <w:tc>
          <w:tcPr>
            <w:tcW w:w="7342" w:type="dxa"/>
            <w:tcBorders>
              <w:top w:val="nil"/>
            </w:tcBorders>
            <w:vAlign w:val="center"/>
          </w:tcPr>
          <w:p w14:paraId="14294853">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lang w:eastAsia="zh-CN"/>
              </w:rPr>
            </w:pPr>
            <w:r>
              <w:rPr>
                <w:rFonts w:hint="eastAsia" w:ascii="楷体" w:hAnsi="楷体" w:eastAsia="楷体" w:cs="楷体"/>
                <w:spacing w:val="3"/>
                <w:sz w:val="21"/>
                <w:szCs w:val="21"/>
              </w:rPr>
              <w:t>五、自治区人民政府认定的重大食品安全事</w:t>
            </w:r>
            <w:r>
              <w:rPr>
                <w:rFonts w:hint="eastAsia" w:ascii="楷体" w:hAnsi="楷体" w:eastAsia="楷体" w:cs="楷体"/>
                <w:spacing w:val="2"/>
                <w:sz w:val="21"/>
                <w:szCs w:val="21"/>
              </w:rPr>
              <w:t>故</w:t>
            </w:r>
            <w:r>
              <w:rPr>
                <w:rFonts w:hint="eastAsia" w:ascii="楷体" w:hAnsi="楷体" w:eastAsia="楷体" w:cs="楷体"/>
                <w:spacing w:val="2"/>
                <w:sz w:val="21"/>
                <w:szCs w:val="21"/>
                <w:lang w:eastAsia="zh-CN"/>
              </w:rPr>
              <w:t>。</w:t>
            </w:r>
          </w:p>
        </w:tc>
        <w:tc>
          <w:tcPr>
            <w:tcW w:w="1557" w:type="dxa"/>
            <w:tcBorders>
              <w:top w:val="nil"/>
            </w:tcBorders>
            <w:vAlign w:val="center"/>
          </w:tcPr>
          <w:p w14:paraId="23CA69C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32"/>
              </w:rPr>
            </w:pPr>
          </w:p>
        </w:tc>
      </w:tr>
      <w:tr w14:paraId="5292A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8" w:hRule="atLeast"/>
          <w:jc w:val="center"/>
        </w:trPr>
        <w:tc>
          <w:tcPr>
            <w:tcW w:w="1104" w:type="dxa"/>
            <w:vAlign w:val="center"/>
          </w:tcPr>
          <w:p w14:paraId="3CF7990E">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21"/>
              </w:rPr>
            </w:pPr>
            <w:r>
              <w:rPr>
                <w:rFonts w:hint="eastAsia" w:ascii="楷体" w:hAnsi="楷体" w:eastAsia="楷体" w:cs="楷体"/>
                <w:spacing w:val="3"/>
                <w:sz w:val="21"/>
                <w:szCs w:val="21"/>
              </w:rPr>
              <w:t>较大食品</w:t>
            </w:r>
            <w:r>
              <w:rPr>
                <w:rFonts w:hint="eastAsia" w:ascii="楷体" w:hAnsi="楷体" w:eastAsia="楷体" w:cs="楷体"/>
                <w:spacing w:val="-2"/>
                <w:sz w:val="21"/>
                <w:szCs w:val="21"/>
              </w:rPr>
              <w:t>安全事故</w:t>
            </w:r>
          </w:p>
        </w:tc>
        <w:tc>
          <w:tcPr>
            <w:tcW w:w="7342" w:type="dxa"/>
            <w:vAlign w:val="center"/>
          </w:tcPr>
          <w:p w14:paraId="240023DB">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z w:val="21"/>
                <w:szCs w:val="21"/>
              </w:rPr>
              <w:t>一、事故影响范围涉及本市行政区域内2个以上旗</w:t>
            </w:r>
            <w:r>
              <w:rPr>
                <w:rFonts w:hint="eastAsia" w:ascii="楷体" w:hAnsi="楷体" w:eastAsia="楷体" w:cs="楷体"/>
                <w:sz w:val="21"/>
                <w:szCs w:val="21"/>
                <w:lang w:eastAsia="zh-CN"/>
              </w:rPr>
              <w:t>（</w:t>
            </w:r>
            <w:r>
              <w:rPr>
                <w:rFonts w:hint="eastAsia" w:ascii="楷体" w:hAnsi="楷体" w:eastAsia="楷体" w:cs="楷体"/>
                <w:sz w:val="21"/>
                <w:szCs w:val="21"/>
              </w:rPr>
              <w:t>市、区</w:t>
            </w:r>
            <w:r>
              <w:rPr>
                <w:rFonts w:hint="eastAsia" w:ascii="楷体" w:hAnsi="楷体" w:eastAsia="楷体" w:cs="楷体"/>
                <w:sz w:val="21"/>
                <w:szCs w:val="21"/>
                <w:lang w:eastAsia="zh-CN"/>
              </w:rPr>
              <w:t>）</w:t>
            </w:r>
            <w:r>
              <w:rPr>
                <w:rFonts w:hint="eastAsia" w:ascii="楷体" w:hAnsi="楷体" w:eastAsia="楷体" w:cs="楷体"/>
                <w:sz w:val="21"/>
                <w:szCs w:val="21"/>
              </w:rPr>
              <w:t>级行政区域，给</w:t>
            </w:r>
            <w:r>
              <w:rPr>
                <w:rFonts w:hint="eastAsia" w:ascii="楷体" w:hAnsi="楷体" w:eastAsia="楷体" w:cs="楷体"/>
                <w:spacing w:val="-1"/>
                <w:sz w:val="21"/>
                <w:szCs w:val="21"/>
              </w:rPr>
              <w:t>人民群众饮食安全带来严重危害的；</w:t>
            </w:r>
          </w:p>
          <w:p w14:paraId="2FE5D2D8">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pacing w:val="2"/>
                <w:sz w:val="21"/>
                <w:szCs w:val="21"/>
              </w:rPr>
              <w:t>二、1起食物中毒事故中毒人数在100人以上，或出现死亡病例的；</w:t>
            </w:r>
          </w:p>
          <w:p w14:paraId="7E242747">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z w:val="21"/>
                <w:szCs w:val="21"/>
              </w:rPr>
              <w:t>三、在盟市行政区域范围内已经或可能造成较大危害和不良影响，经评估应当在盟市级层面采</w:t>
            </w:r>
            <w:r>
              <w:rPr>
                <w:rFonts w:hint="eastAsia" w:ascii="楷体" w:hAnsi="楷体" w:eastAsia="楷体" w:cs="楷体"/>
                <w:spacing w:val="-1"/>
                <w:sz w:val="21"/>
                <w:szCs w:val="21"/>
              </w:rPr>
              <w:t>取应急措施应对</w:t>
            </w:r>
            <w:r>
              <w:rPr>
                <w:rFonts w:hint="eastAsia" w:ascii="楷体" w:hAnsi="楷体" w:eastAsia="楷体" w:cs="楷体"/>
                <w:spacing w:val="9"/>
                <w:sz w:val="21"/>
                <w:szCs w:val="21"/>
              </w:rPr>
              <w:t>的食品安全事故；</w:t>
            </w:r>
          </w:p>
          <w:p w14:paraId="0C0C43DD">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lang w:eastAsia="zh-CN"/>
              </w:rPr>
            </w:pPr>
            <w:r>
              <w:rPr>
                <w:rFonts w:hint="eastAsia" w:ascii="楷体" w:hAnsi="楷体" w:eastAsia="楷体" w:cs="楷体"/>
                <w:spacing w:val="2"/>
                <w:sz w:val="21"/>
                <w:szCs w:val="21"/>
              </w:rPr>
              <w:t>四、盟市级以上人民政府认定的其他较大食品安全事故</w:t>
            </w:r>
            <w:r>
              <w:rPr>
                <w:rFonts w:hint="eastAsia" w:ascii="楷体" w:hAnsi="楷体" w:eastAsia="楷体" w:cs="楷体"/>
                <w:spacing w:val="2"/>
                <w:sz w:val="21"/>
                <w:szCs w:val="21"/>
                <w:lang w:eastAsia="zh-CN"/>
              </w:rPr>
              <w:t>。</w:t>
            </w:r>
          </w:p>
        </w:tc>
        <w:tc>
          <w:tcPr>
            <w:tcW w:w="1557" w:type="dxa"/>
            <w:vAlign w:val="center"/>
          </w:tcPr>
          <w:p w14:paraId="227BA307">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21"/>
              </w:rPr>
            </w:pPr>
            <w:r>
              <w:rPr>
                <w:rFonts w:hint="eastAsia" w:ascii="楷体" w:hAnsi="楷体" w:eastAsia="楷体" w:cs="楷体"/>
                <w:spacing w:val="-1"/>
                <w:sz w:val="21"/>
                <w:szCs w:val="21"/>
                <w:lang w:eastAsia="zh-CN"/>
              </w:rPr>
              <w:t>盟</w:t>
            </w:r>
            <w:r>
              <w:rPr>
                <w:rFonts w:hint="eastAsia" w:ascii="楷体" w:hAnsi="楷体" w:eastAsia="楷体" w:cs="楷体"/>
                <w:spacing w:val="-1"/>
                <w:sz w:val="21"/>
                <w:szCs w:val="21"/>
              </w:rPr>
              <w:t>市人民政府</w:t>
            </w:r>
            <w:r>
              <w:rPr>
                <w:rFonts w:hint="eastAsia" w:ascii="楷体" w:hAnsi="楷体" w:eastAsia="楷体" w:cs="楷体"/>
                <w:spacing w:val="-2"/>
                <w:sz w:val="21"/>
                <w:szCs w:val="21"/>
              </w:rPr>
              <w:t>启动Ⅲ级响应</w:t>
            </w:r>
          </w:p>
        </w:tc>
      </w:tr>
      <w:tr w14:paraId="0FCA6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3" w:hRule="atLeast"/>
          <w:jc w:val="center"/>
        </w:trPr>
        <w:tc>
          <w:tcPr>
            <w:tcW w:w="1104" w:type="dxa"/>
            <w:vAlign w:val="center"/>
          </w:tcPr>
          <w:p w14:paraId="37BCBF91">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21"/>
              </w:rPr>
            </w:pPr>
            <w:r>
              <w:rPr>
                <w:rFonts w:hint="eastAsia" w:ascii="楷体" w:hAnsi="楷体" w:eastAsia="楷体" w:cs="楷体"/>
                <w:spacing w:val="3"/>
                <w:sz w:val="21"/>
                <w:szCs w:val="21"/>
              </w:rPr>
              <w:t>一般食品</w:t>
            </w:r>
            <w:r>
              <w:rPr>
                <w:rFonts w:hint="eastAsia" w:ascii="楷体" w:hAnsi="楷体" w:eastAsia="楷体" w:cs="楷体"/>
                <w:spacing w:val="-2"/>
                <w:sz w:val="21"/>
                <w:szCs w:val="21"/>
              </w:rPr>
              <w:t>安全事故</w:t>
            </w:r>
          </w:p>
        </w:tc>
        <w:tc>
          <w:tcPr>
            <w:tcW w:w="7342" w:type="dxa"/>
            <w:vAlign w:val="center"/>
          </w:tcPr>
          <w:p w14:paraId="25989817">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pacing w:val="3"/>
                <w:sz w:val="21"/>
                <w:szCs w:val="21"/>
              </w:rPr>
              <w:t>一、食品污染已造成严重健康损害后果的；</w:t>
            </w:r>
          </w:p>
          <w:p w14:paraId="284E2AF6">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pacing w:val="2"/>
                <w:sz w:val="21"/>
                <w:szCs w:val="21"/>
              </w:rPr>
              <w:t>二、1起食物中毒事故中毒人数在30人以上</w:t>
            </w:r>
            <w:r>
              <w:rPr>
                <w:rFonts w:hint="eastAsia" w:ascii="楷体" w:hAnsi="楷体" w:eastAsia="楷体" w:cs="楷体"/>
                <w:spacing w:val="2"/>
                <w:sz w:val="21"/>
                <w:szCs w:val="21"/>
                <w:lang w:eastAsia="zh-CN"/>
              </w:rPr>
              <w:t>，</w:t>
            </w:r>
            <w:r>
              <w:rPr>
                <w:rFonts w:hint="eastAsia" w:ascii="楷体" w:hAnsi="楷体" w:eastAsia="楷体" w:cs="楷体"/>
                <w:spacing w:val="2"/>
                <w:sz w:val="21"/>
                <w:szCs w:val="21"/>
              </w:rPr>
              <w:t>99人以下</w:t>
            </w:r>
            <w:r>
              <w:rPr>
                <w:rFonts w:hint="eastAsia" w:ascii="楷体" w:hAnsi="楷体" w:eastAsia="楷体" w:cs="楷体"/>
                <w:spacing w:val="2"/>
                <w:sz w:val="21"/>
                <w:szCs w:val="21"/>
                <w:lang w:eastAsia="zh-CN"/>
              </w:rPr>
              <w:t>（</w:t>
            </w:r>
            <w:r>
              <w:rPr>
                <w:rFonts w:hint="eastAsia" w:ascii="楷体" w:hAnsi="楷体" w:eastAsia="楷体" w:cs="楷体"/>
                <w:spacing w:val="2"/>
                <w:sz w:val="21"/>
                <w:szCs w:val="21"/>
              </w:rPr>
              <w:t>含本数</w:t>
            </w:r>
            <w:r>
              <w:rPr>
                <w:rFonts w:hint="eastAsia" w:ascii="楷体" w:hAnsi="楷体" w:eastAsia="楷体" w:cs="楷体"/>
                <w:spacing w:val="2"/>
                <w:sz w:val="21"/>
                <w:szCs w:val="21"/>
                <w:lang w:eastAsia="zh-CN"/>
              </w:rPr>
              <w:t>）</w:t>
            </w:r>
            <w:r>
              <w:rPr>
                <w:rFonts w:hint="eastAsia" w:ascii="楷体" w:hAnsi="楷体" w:eastAsia="楷体" w:cs="楷体"/>
                <w:spacing w:val="2"/>
                <w:sz w:val="21"/>
                <w:szCs w:val="21"/>
              </w:rPr>
              <w:t>且未</w:t>
            </w:r>
            <w:r>
              <w:rPr>
                <w:rFonts w:hint="eastAsia" w:ascii="楷体" w:hAnsi="楷体" w:eastAsia="楷体" w:cs="楷体"/>
                <w:spacing w:val="1"/>
                <w:sz w:val="21"/>
                <w:szCs w:val="21"/>
              </w:rPr>
              <w:t>出现死亡病例的；</w:t>
            </w:r>
          </w:p>
          <w:p w14:paraId="19A534E8">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rPr>
            </w:pPr>
            <w:r>
              <w:rPr>
                <w:rFonts w:hint="eastAsia" w:ascii="楷体" w:hAnsi="楷体" w:eastAsia="楷体" w:cs="楷体"/>
                <w:sz w:val="21"/>
                <w:szCs w:val="21"/>
              </w:rPr>
              <w:t>三、在旗</w:t>
            </w:r>
            <w:r>
              <w:rPr>
                <w:rFonts w:hint="eastAsia" w:ascii="楷体" w:hAnsi="楷体" w:eastAsia="楷体" w:cs="楷体"/>
                <w:sz w:val="21"/>
                <w:szCs w:val="21"/>
                <w:lang w:eastAsia="zh-CN"/>
              </w:rPr>
              <w:t>（</w:t>
            </w:r>
            <w:r>
              <w:rPr>
                <w:rFonts w:hint="eastAsia" w:ascii="楷体" w:hAnsi="楷体" w:eastAsia="楷体" w:cs="楷体"/>
                <w:sz w:val="21"/>
                <w:szCs w:val="21"/>
              </w:rPr>
              <w:t>市、区</w:t>
            </w:r>
            <w:r>
              <w:rPr>
                <w:rFonts w:hint="eastAsia" w:ascii="楷体" w:hAnsi="楷体" w:eastAsia="楷体" w:cs="楷体"/>
                <w:sz w:val="21"/>
                <w:szCs w:val="21"/>
                <w:lang w:eastAsia="zh-CN"/>
              </w:rPr>
              <w:t>）</w:t>
            </w:r>
            <w:r>
              <w:rPr>
                <w:rFonts w:hint="eastAsia" w:ascii="楷体" w:hAnsi="楷体" w:eastAsia="楷体" w:cs="楷体"/>
                <w:sz w:val="21"/>
                <w:szCs w:val="21"/>
              </w:rPr>
              <w:t>行政区域范围内已经或可能造成一般危害和不良影响，经评估应当在旗</w:t>
            </w:r>
            <w:r>
              <w:rPr>
                <w:rFonts w:hint="eastAsia" w:ascii="楷体" w:hAnsi="楷体" w:eastAsia="楷体" w:cs="楷体"/>
                <w:sz w:val="21"/>
                <w:szCs w:val="21"/>
                <w:lang w:eastAsia="zh-CN"/>
              </w:rPr>
              <w:t>（</w:t>
            </w:r>
            <w:r>
              <w:rPr>
                <w:rFonts w:hint="eastAsia" w:ascii="楷体" w:hAnsi="楷体" w:eastAsia="楷体" w:cs="楷体"/>
                <w:spacing w:val="-1"/>
                <w:sz w:val="21"/>
                <w:szCs w:val="21"/>
              </w:rPr>
              <w:t>市、区</w:t>
            </w:r>
            <w:r>
              <w:rPr>
                <w:rFonts w:hint="eastAsia" w:ascii="楷体" w:hAnsi="楷体" w:eastAsia="楷体" w:cs="楷体"/>
                <w:spacing w:val="-1"/>
                <w:sz w:val="21"/>
                <w:szCs w:val="21"/>
                <w:lang w:eastAsia="zh-CN"/>
              </w:rPr>
              <w:t>）</w:t>
            </w:r>
            <w:r>
              <w:rPr>
                <w:rFonts w:hint="eastAsia" w:ascii="楷体" w:hAnsi="楷体" w:eastAsia="楷体" w:cs="楷体"/>
                <w:spacing w:val="-1"/>
                <w:sz w:val="21"/>
                <w:szCs w:val="21"/>
              </w:rPr>
              <w:t>级层面采取应急措施应对的食品安全事故：</w:t>
            </w:r>
          </w:p>
          <w:p w14:paraId="583C69BF">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楷体" w:hAnsi="楷体" w:eastAsia="楷体" w:cs="楷体"/>
                <w:sz w:val="21"/>
                <w:szCs w:val="21"/>
                <w:lang w:eastAsia="zh-CN"/>
              </w:rPr>
            </w:pPr>
            <w:r>
              <w:rPr>
                <w:rFonts w:hint="eastAsia" w:ascii="楷体" w:hAnsi="楷体" w:eastAsia="楷体" w:cs="楷体"/>
                <w:spacing w:val="2"/>
                <w:sz w:val="21"/>
                <w:szCs w:val="21"/>
              </w:rPr>
              <w:t>四、旗</w:t>
            </w:r>
            <w:r>
              <w:rPr>
                <w:rFonts w:hint="eastAsia" w:ascii="楷体" w:hAnsi="楷体" w:eastAsia="楷体" w:cs="楷体"/>
                <w:spacing w:val="2"/>
                <w:sz w:val="21"/>
                <w:szCs w:val="21"/>
                <w:lang w:eastAsia="zh-CN"/>
              </w:rPr>
              <w:t>（</w:t>
            </w:r>
            <w:r>
              <w:rPr>
                <w:rFonts w:hint="eastAsia" w:ascii="楷体" w:hAnsi="楷体" w:eastAsia="楷体" w:cs="楷体"/>
                <w:spacing w:val="2"/>
                <w:sz w:val="21"/>
                <w:szCs w:val="21"/>
              </w:rPr>
              <w:t>市</w:t>
            </w:r>
            <w:r>
              <w:rPr>
                <w:rFonts w:hint="eastAsia" w:ascii="楷体" w:hAnsi="楷体" w:eastAsia="楷体" w:cs="楷体"/>
                <w:spacing w:val="2"/>
                <w:sz w:val="21"/>
                <w:szCs w:val="21"/>
                <w:lang w:eastAsia="zh-CN"/>
              </w:rPr>
              <w:t>、</w:t>
            </w:r>
            <w:r>
              <w:rPr>
                <w:rFonts w:hint="eastAsia" w:ascii="楷体" w:hAnsi="楷体" w:eastAsia="楷体" w:cs="楷体"/>
                <w:spacing w:val="2"/>
                <w:sz w:val="21"/>
                <w:szCs w:val="21"/>
              </w:rPr>
              <w:t>区</w:t>
            </w:r>
            <w:r>
              <w:rPr>
                <w:rFonts w:hint="eastAsia" w:ascii="楷体" w:hAnsi="楷体" w:eastAsia="楷体" w:cs="楷体"/>
                <w:spacing w:val="2"/>
                <w:sz w:val="21"/>
                <w:szCs w:val="21"/>
                <w:lang w:eastAsia="zh-CN"/>
              </w:rPr>
              <w:t>）</w:t>
            </w:r>
            <w:r>
              <w:rPr>
                <w:rFonts w:hint="eastAsia" w:ascii="楷体" w:hAnsi="楷体" w:eastAsia="楷体" w:cs="楷体"/>
                <w:spacing w:val="2"/>
                <w:sz w:val="21"/>
                <w:szCs w:val="21"/>
              </w:rPr>
              <w:t>级以上人民政府认定的其他一般食品安全事故</w:t>
            </w:r>
            <w:r>
              <w:rPr>
                <w:rFonts w:hint="eastAsia" w:ascii="楷体" w:hAnsi="楷体" w:eastAsia="楷体" w:cs="楷体"/>
                <w:spacing w:val="2"/>
                <w:sz w:val="21"/>
                <w:szCs w:val="21"/>
                <w:lang w:eastAsia="zh-CN"/>
              </w:rPr>
              <w:t>。</w:t>
            </w:r>
          </w:p>
        </w:tc>
        <w:tc>
          <w:tcPr>
            <w:tcW w:w="1557" w:type="dxa"/>
            <w:vAlign w:val="center"/>
          </w:tcPr>
          <w:p w14:paraId="38CA06A7">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21"/>
                <w:lang w:eastAsia="zh-CN"/>
              </w:rPr>
            </w:pPr>
            <w:r>
              <w:rPr>
                <w:rFonts w:hint="eastAsia" w:ascii="楷体" w:hAnsi="楷体" w:eastAsia="楷体" w:cs="楷体"/>
                <w:spacing w:val="5"/>
                <w:sz w:val="21"/>
                <w:szCs w:val="21"/>
              </w:rPr>
              <w:t>旗</w:t>
            </w:r>
            <w:r>
              <w:rPr>
                <w:rFonts w:hint="eastAsia" w:ascii="楷体" w:hAnsi="楷体" w:eastAsia="楷体" w:cs="楷体"/>
                <w:spacing w:val="5"/>
                <w:sz w:val="21"/>
                <w:szCs w:val="21"/>
                <w:lang w:eastAsia="zh-CN"/>
              </w:rPr>
              <w:t>（</w:t>
            </w:r>
            <w:r>
              <w:rPr>
                <w:rFonts w:hint="eastAsia" w:ascii="楷体" w:hAnsi="楷体" w:eastAsia="楷体" w:cs="楷体"/>
                <w:spacing w:val="5"/>
                <w:sz w:val="21"/>
                <w:szCs w:val="21"/>
              </w:rPr>
              <w:t>区、市</w:t>
            </w:r>
            <w:r>
              <w:rPr>
                <w:rFonts w:hint="eastAsia" w:ascii="楷体" w:hAnsi="楷体" w:eastAsia="楷体" w:cs="楷体"/>
                <w:spacing w:val="5"/>
                <w:sz w:val="21"/>
                <w:szCs w:val="21"/>
                <w:lang w:eastAsia="zh-CN"/>
              </w:rPr>
              <w:t>）</w:t>
            </w:r>
          </w:p>
          <w:p w14:paraId="4C425B21">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21"/>
              </w:rPr>
            </w:pPr>
            <w:r>
              <w:rPr>
                <w:rFonts w:hint="eastAsia" w:ascii="楷体" w:hAnsi="楷体" w:eastAsia="楷体" w:cs="楷体"/>
                <w:spacing w:val="-1"/>
                <w:sz w:val="21"/>
                <w:szCs w:val="21"/>
              </w:rPr>
              <w:t>人民政府启动</w:t>
            </w:r>
          </w:p>
          <w:p w14:paraId="3E228C32">
            <w:pPr>
              <w:pStyle w:val="6"/>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楷体" w:hAnsi="楷体" w:eastAsia="楷体" w:cs="楷体"/>
                <w:sz w:val="21"/>
                <w:szCs w:val="21"/>
              </w:rPr>
            </w:pPr>
            <w:r>
              <w:rPr>
                <w:rFonts w:hint="eastAsia" w:ascii="楷体" w:hAnsi="楷体" w:eastAsia="楷体" w:cs="楷体"/>
                <w:sz w:val="21"/>
                <w:szCs w:val="21"/>
              </w:rPr>
              <w:t>IV</w:t>
            </w:r>
            <w:r>
              <w:rPr>
                <w:rFonts w:hint="eastAsia" w:ascii="楷体" w:hAnsi="楷体" w:eastAsia="楷体" w:cs="楷体"/>
                <w:spacing w:val="2"/>
                <w:sz w:val="21"/>
                <w:szCs w:val="21"/>
              </w:rPr>
              <w:t>级响应</w:t>
            </w:r>
          </w:p>
        </w:tc>
      </w:tr>
    </w:tbl>
    <w:p w14:paraId="545492BB">
      <w:pPr>
        <w:spacing w:line="293" w:lineRule="auto"/>
        <w:rPr>
          <w:rFonts w:ascii="Arial"/>
          <w:sz w:val="21"/>
        </w:rPr>
      </w:pPr>
    </w:p>
    <w:p w14:paraId="05C485E3">
      <w:pPr>
        <w:rPr>
          <w:rFonts w:ascii="Arial"/>
          <w:sz w:val="21"/>
        </w:rPr>
      </w:pPr>
      <w:r>
        <w:rPr>
          <w:rFonts w:ascii="Arial"/>
          <w:sz w:val="21"/>
        </w:rPr>
        <w:br w:type="page"/>
      </w:r>
    </w:p>
    <w:p w14:paraId="5B2DCF4E">
      <w:pPr>
        <w:keepNext w:val="0"/>
        <w:keepLines w:val="0"/>
        <w:pageBreakBefore w:val="0"/>
        <w:widowControl w:val="0"/>
        <w:kinsoku/>
        <w:wordWrap/>
        <w:overflowPunct/>
        <w:topLinePunct w:val="0"/>
        <w:autoSpaceDE/>
        <w:autoSpaceDN/>
        <w:bidi w:val="0"/>
        <w:adjustRightInd/>
        <w:snapToGrid/>
        <w:spacing w:before="119" w:line="560" w:lineRule="exact"/>
        <w:textAlignment w:val="auto"/>
        <w:rPr>
          <w:rFonts w:ascii="黑体" w:hAnsi="黑体" w:eastAsia="黑体" w:cs="黑体"/>
          <w:b w:val="0"/>
          <w:bCs w:val="0"/>
          <w:spacing w:val="10"/>
          <w:sz w:val="32"/>
          <w:szCs w:val="32"/>
        </w:rPr>
      </w:pPr>
      <w:r>
        <w:rPr>
          <w:rFonts w:ascii="黑体" w:hAnsi="黑体" w:eastAsia="黑体" w:cs="黑体"/>
          <w:b w:val="0"/>
          <w:bCs w:val="0"/>
          <w:spacing w:val="10"/>
          <w:sz w:val="32"/>
          <w:szCs w:val="32"/>
        </w:rPr>
        <w:t>附件2</w:t>
      </w:r>
    </w:p>
    <w:p w14:paraId="00229983">
      <w:pPr>
        <w:keepNext w:val="0"/>
        <w:keepLines w:val="0"/>
        <w:pageBreakBefore w:val="0"/>
        <w:widowControl w:val="0"/>
        <w:kinsoku/>
        <w:wordWrap/>
        <w:overflowPunct/>
        <w:topLinePunct w:val="0"/>
        <w:autoSpaceDE/>
        <w:autoSpaceDN/>
        <w:bidi w:val="0"/>
        <w:adjustRightInd/>
        <w:snapToGrid/>
        <w:spacing w:before="119" w:line="560" w:lineRule="exact"/>
        <w:textAlignment w:val="auto"/>
        <w:rPr>
          <w:rFonts w:ascii="黑体" w:hAnsi="黑体" w:eastAsia="黑体" w:cs="黑体"/>
          <w:b w:val="0"/>
          <w:bCs w:val="0"/>
          <w:spacing w:val="10"/>
          <w:sz w:val="32"/>
          <w:szCs w:val="32"/>
        </w:rPr>
      </w:pPr>
    </w:p>
    <w:p w14:paraId="3EDA2906">
      <w:pPr>
        <w:keepNext w:val="0"/>
        <w:keepLines w:val="0"/>
        <w:pageBreakBefore w:val="0"/>
        <w:widowControl w:val="0"/>
        <w:kinsoku/>
        <w:wordWrap/>
        <w:overflowPunct/>
        <w:topLinePunct w:val="0"/>
        <w:autoSpaceDE/>
        <w:autoSpaceDN/>
        <w:bidi w:val="0"/>
        <w:adjustRightInd/>
        <w:snapToGrid/>
        <w:spacing w:before="139" w:line="560" w:lineRule="exact"/>
        <w:jc w:val="center"/>
        <w:textAlignment w:val="auto"/>
        <w:rPr>
          <w:rFonts w:hint="eastAsia" w:ascii="方正小标宋简体" w:hAnsi="方正小标宋简体" w:eastAsia="方正小标宋简体" w:cs="方正小标宋简体"/>
          <w:b w:val="0"/>
          <w:bCs w:val="0"/>
          <w:spacing w:val="-4"/>
          <w:sz w:val="44"/>
          <w:szCs w:val="44"/>
        </w:rPr>
      </w:pPr>
      <w:r>
        <w:rPr>
          <w:rFonts w:hint="eastAsia" w:ascii="方正小标宋简体" w:hAnsi="方正小标宋简体" w:eastAsia="方正小标宋简体" w:cs="方正小标宋简体"/>
          <w:b w:val="0"/>
          <w:bCs w:val="0"/>
          <w:spacing w:val="-4"/>
          <w:sz w:val="44"/>
          <w:szCs w:val="44"/>
        </w:rPr>
        <w:t>应急指挥部成员单位职责</w:t>
      </w:r>
    </w:p>
    <w:p w14:paraId="4AAF620C">
      <w:pPr>
        <w:keepNext w:val="0"/>
        <w:keepLines w:val="0"/>
        <w:pageBreakBefore w:val="0"/>
        <w:widowControl w:val="0"/>
        <w:kinsoku/>
        <w:wordWrap/>
        <w:overflowPunct/>
        <w:topLinePunct w:val="0"/>
        <w:autoSpaceDE/>
        <w:autoSpaceDN/>
        <w:bidi w:val="0"/>
        <w:adjustRightInd/>
        <w:snapToGrid/>
        <w:spacing w:before="139" w:line="560" w:lineRule="exact"/>
        <w:jc w:val="center"/>
        <w:textAlignment w:val="auto"/>
        <w:rPr>
          <w:rFonts w:ascii="宋体" w:hAnsi="宋体" w:eastAsia="宋体" w:cs="宋体"/>
          <w:b/>
          <w:bCs/>
          <w:spacing w:val="-4"/>
          <w:sz w:val="43"/>
          <w:szCs w:val="43"/>
        </w:rPr>
      </w:pPr>
    </w:p>
    <w:p w14:paraId="5562CC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委宣传部：负责加强互联网信息管理</w:t>
      </w:r>
      <w:r>
        <w:rPr>
          <w:rFonts w:hint="eastAsia" w:ascii="仿宋" w:hAnsi="仿宋" w:eastAsia="仿宋" w:cs="仿宋"/>
          <w:sz w:val="32"/>
          <w:szCs w:val="32"/>
          <w:lang w:eastAsia="zh-CN"/>
        </w:rPr>
        <w:t>，</w:t>
      </w:r>
      <w:r>
        <w:rPr>
          <w:rFonts w:hint="eastAsia" w:ascii="仿宋" w:hAnsi="仿宋" w:eastAsia="仿宋" w:cs="仿宋"/>
          <w:sz w:val="32"/>
          <w:szCs w:val="32"/>
        </w:rPr>
        <w:t>指导涉事部门做好舆情应对处置</w:t>
      </w:r>
      <w:r>
        <w:rPr>
          <w:rFonts w:hint="eastAsia" w:ascii="仿宋" w:hAnsi="仿宋" w:eastAsia="仿宋" w:cs="仿宋"/>
          <w:sz w:val="32"/>
          <w:szCs w:val="32"/>
          <w:lang w:eastAsia="zh-CN"/>
        </w:rPr>
        <w:t>，</w:t>
      </w:r>
      <w:r>
        <w:rPr>
          <w:rFonts w:hint="eastAsia" w:ascii="仿宋" w:hAnsi="仿宋" w:eastAsia="仿宋" w:cs="仿宋"/>
          <w:sz w:val="32"/>
          <w:szCs w:val="32"/>
        </w:rPr>
        <w:t>协调事故调查处置部门及时发布权威信息，组织新闻媒体做好宣传报道和舆论引导。</w:t>
      </w:r>
    </w:p>
    <w:p w14:paraId="4B9CF4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委政法委：发挥平安建设协调机制作用，督促相关单位履行好食品安全事故处置职能。</w:t>
      </w:r>
    </w:p>
    <w:p w14:paraId="7C3C1BF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发展和改革委员会：负责粮食收购、储存环节和政策性用粮购销活动中发生的粮食安全事故的应急处置和违法行为的调查处理；封存可能导致食品安全事故的原粮；对确认属于被污染的原粮，依法处理。</w:t>
      </w:r>
    </w:p>
    <w:p w14:paraId="747D0C7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区</w:t>
      </w:r>
      <w:r>
        <w:rPr>
          <w:rFonts w:hint="eastAsia" w:ascii="仿宋" w:hAnsi="仿宋" w:eastAsia="仿宋" w:cs="仿宋"/>
          <w:sz w:val="32"/>
          <w:szCs w:val="32"/>
          <w:highlight w:val="none"/>
        </w:rPr>
        <w:t>教育局：负责协助市场监管部门对学校</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幼儿园</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rPr>
        <w:t>食堂发生的食品安全事故进行调查及组织应急处理。</w:t>
      </w:r>
    </w:p>
    <w:p w14:paraId="0BD96D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区工信科技商务局</w:t>
      </w:r>
      <w:r>
        <w:rPr>
          <w:rFonts w:hint="eastAsia" w:ascii="仿宋" w:hAnsi="仿宋" w:eastAsia="仿宋" w:cs="仿宋"/>
          <w:sz w:val="32"/>
          <w:szCs w:val="32"/>
        </w:rPr>
        <w:t>：负责协助乳品、转基因食品、酒类和食盐等特定食品工业中食品安全事故的调查和应急处置；协助食品安全事故应急处置所需设备、装备及相关产品的保障供给。协助进出口环节食品安全事故的调查处理；协助做好食品安全事故应急救援所需重要生活必需品的市场供应</w:t>
      </w:r>
      <w:r>
        <w:rPr>
          <w:rFonts w:hint="eastAsia" w:ascii="仿宋" w:hAnsi="仿宋" w:eastAsia="仿宋" w:cs="仿宋"/>
          <w:sz w:val="32"/>
          <w:szCs w:val="32"/>
          <w:lang w:eastAsia="zh-CN"/>
        </w:rPr>
        <w:t>工作。</w:t>
      </w:r>
    </w:p>
    <w:p w14:paraId="03D098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公安</w:t>
      </w:r>
      <w:r>
        <w:rPr>
          <w:rFonts w:hint="eastAsia" w:ascii="仿宋" w:hAnsi="仿宋" w:eastAsia="仿宋" w:cs="仿宋"/>
          <w:sz w:val="32"/>
          <w:szCs w:val="32"/>
          <w:lang w:eastAsia="zh-CN"/>
        </w:rPr>
        <w:t>分</w:t>
      </w:r>
      <w:r>
        <w:rPr>
          <w:rFonts w:hint="eastAsia" w:ascii="仿宋" w:hAnsi="仿宋" w:eastAsia="仿宋" w:cs="仿宋"/>
          <w:sz w:val="32"/>
          <w:szCs w:val="32"/>
        </w:rPr>
        <w:t>局：负责指导、协调对食品安全事故中涉嫌犯罪行为的侦查工作；加强对食品安全事故现场的治安管理，有效维护社会治安秩序。</w:t>
      </w:r>
    </w:p>
    <w:p w14:paraId="19F2634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民政</w:t>
      </w:r>
      <w:r>
        <w:rPr>
          <w:rFonts w:hint="eastAsia" w:ascii="仿宋" w:hAnsi="仿宋" w:eastAsia="仿宋" w:cs="仿宋"/>
          <w:sz w:val="32"/>
          <w:szCs w:val="32"/>
          <w:lang w:eastAsia="zh-CN"/>
        </w:rPr>
        <w:t>和退役军人事务</w:t>
      </w:r>
      <w:r>
        <w:rPr>
          <w:rFonts w:hint="eastAsia" w:ascii="仿宋" w:hAnsi="仿宋" w:eastAsia="仿宋" w:cs="仿宋"/>
          <w:sz w:val="32"/>
          <w:szCs w:val="32"/>
        </w:rPr>
        <w:t>局：协助有关部门对养老机构集体用餐造成的食品安全事故进行调查及组织应急处理；协助做好受食品安全事故影响群众的生活救助工作。</w:t>
      </w:r>
    </w:p>
    <w:p w14:paraId="309608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财政局：负责食品安全事故应急处置等工作所需资金的保障。</w:t>
      </w:r>
    </w:p>
    <w:p w14:paraId="1402FF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生态环境</w:t>
      </w:r>
      <w:r>
        <w:rPr>
          <w:rFonts w:hint="eastAsia" w:ascii="仿宋" w:hAnsi="仿宋" w:eastAsia="仿宋" w:cs="仿宋"/>
          <w:sz w:val="32"/>
          <w:szCs w:val="32"/>
          <w:lang w:eastAsia="zh-CN"/>
        </w:rPr>
        <w:t>分</w:t>
      </w:r>
      <w:r>
        <w:rPr>
          <w:rFonts w:hint="eastAsia" w:ascii="仿宋" w:hAnsi="仿宋" w:eastAsia="仿宋" w:cs="仿宋"/>
          <w:sz w:val="32"/>
          <w:szCs w:val="32"/>
        </w:rPr>
        <w:t>局：负责组织指导由环境污染造成食品安全事故中环境污染的调查处置和环境监测工作；指导、协调地方人民政府开展污染处置；对造成食品安全事故的环境违法行为追究相应责任。</w:t>
      </w:r>
    </w:p>
    <w:p w14:paraId="38E9329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农牧</w:t>
      </w:r>
      <w:r>
        <w:rPr>
          <w:rFonts w:hint="eastAsia" w:ascii="仿宋" w:hAnsi="仿宋" w:eastAsia="仿宋" w:cs="仿宋"/>
          <w:sz w:val="32"/>
          <w:szCs w:val="32"/>
          <w:lang w:eastAsia="zh-CN"/>
        </w:rPr>
        <w:t>水利</w:t>
      </w:r>
      <w:r>
        <w:rPr>
          <w:rFonts w:hint="eastAsia" w:ascii="仿宋" w:hAnsi="仿宋" w:eastAsia="仿宋" w:cs="仿宋"/>
          <w:sz w:val="32"/>
          <w:szCs w:val="32"/>
        </w:rPr>
        <w:t>局：负责对农畜产品和水产品养殖环节、畜禽屠宰环节和生鲜乳收购环节造成的质量安全事故开展调查处理和技术鉴定等，并依法采取必要的应急处置措施，防止或者减轻社会危害；负责组织开展农畜产品、水产品相关检测和风险评估，提出评估结论。</w:t>
      </w:r>
    </w:p>
    <w:p w14:paraId="1A89A5C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文化旅游广电局：协助市场监管等有关部门对涉及旅游的食品安全事故进行应急处理。</w:t>
      </w:r>
    </w:p>
    <w:p w14:paraId="25564E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卫生健康委员会：负责为应急指挥部办公室提供技术支持，参加应急指挥部办公室工作；参与事故调查；组织事故流行病学调查、医疗救治、现场卫生学处置及有关技术调查，组织开展相关监测，分析监测数据；提供相关标准解释；组织开展相关检测和风险评估；提出评价或评价结论。</w:t>
      </w:r>
    </w:p>
    <w:p w14:paraId="4D8586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w:t>
      </w:r>
      <w:r>
        <w:rPr>
          <w:rFonts w:hint="eastAsia" w:ascii="仿宋" w:hAnsi="仿宋" w:eastAsia="仿宋" w:cs="仿宋"/>
          <w:sz w:val="32"/>
          <w:szCs w:val="32"/>
        </w:rPr>
        <w:t>市场监督管理局：负责对食品、食品添加剂、食品相关产品生产经营环节、食用农产品流通环节食品安全事故进行现场控制及违法行为的调查处理，并依法采取必要的应急处置措施，防止或者减轻社会危害；负责协助其他有关部门对虚假违法食品广告进行调查处理。</w:t>
      </w:r>
    </w:p>
    <w:p w14:paraId="088253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区住房建设和交通运输局</w:t>
      </w:r>
      <w:r>
        <w:rPr>
          <w:rFonts w:hint="eastAsia" w:ascii="仿宋" w:hAnsi="仿宋" w:eastAsia="仿宋" w:cs="仿宋"/>
          <w:sz w:val="32"/>
          <w:szCs w:val="32"/>
        </w:rPr>
        <w:t>：协助提供事故应急处置过程中的道路、水路交通运力保障。</w:t>
      </w:r>
    </w:p>
    <w:p w14:paraId="386FCE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各部门按照法定职责实施食品安全事故应急处置，同时按职责分工配合和协助其他部门做好食品安全应急处置工作</w:t>
      </w:r>
    </w:p>
    <w:p w14:paraId="07D210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14:paraId="12B228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p>
    <w:p w14:paraId="162914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sectPr>
          <w:footerReference r:id="rId3" w:type="default"/>
          <w:pgSz w:w="11900" w:h="16820"/>
          <w:pgMar w:top="2098" w:right="1474" w:bottom="1984" w:left="1587" w:header="0" w:footer="1600" w:gutter="0"/>
          <w:pgNumType w:fmt="decimal"/>
          <w:cols w:space="720" w:num="1"/>
        </w:sectPr>
      </w:pPr>
    </w:p>
    <w:p w14:paraId="00747A4D"/>
    <w:sectPr>
      <w:footerReference r:id="rId4" w:type="default"/>
      <w:pgSz w:w="11900" w:h="16820"/>
      <w:pgMar w:top="2098" w:right="1474" w:bottom="1984" w:left="1587" w:header="0" w:footer="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612E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58FB83">
                          <w:pPr>
                            <w:pStyle w:val="2"/>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32"/>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958FB83">
                    <w:pPr>
                      <w:pStyle w:val="2"/>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32"/>
                        <w:szCs w:val="32"/>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EA17F">
    <w:pPr>
      <w:spacing w:line="14" w:lineRule="auto"/>
      <w:rPr>
        <w:rFonts w:ascii="Arial"/>
        <w:sz w:val="2"/>
      </w:rPr>
    </w:pPr>
    <w:r>
      <w:rPr>
        <w:sz w:val="2"/>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37DEA9">
                          <w:pPr>
                            <w:pStyle w:val="2"/>
                          </w:pPr>
                          <w:r>
                            <w:t xml:space="preserve">— </w:t>
                          </w:r>
                          <w:r>
                            <w:fldChar w:fldCharType="begin"/>
                          </w:r>
                          <w:r>
                            <w:instrText xml:space="preserve"> PAGE  \* MERGEFORMAT </w:instrText>
                          </w:r>
                          <w:r>
                            <w:fldChar w:fldCharType="separate"/>
                          </w:r>
                          <w:r>
                            <w:t>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437DEA9">
                    <w:pPr>
                      <w:pStyle w:val="2"/>
                    </w:pPr>
                    <w:r>
                      <w:t xml:space="preserve">— </w:t>
                    </w:r>
                    <w:r>
                      <w:fldChar w:fldCharType="begin"/>
                    </w:r>
                    <w:r>
                      <w:instrText xml:space="preserve"> PAGE  \* MERGEFORMAT </w:instrText>
                    </w:r>
                    <w:r>
                      <w:fldChar w:fldCharType="separate"/>
                    </w:r>
                    <w:r>
                      <w:t>7</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04591A"/>
    <w:rsid w:val="00426ECF"/>
    <w:rsid w:val="0208112C"/>
    <w:rsid w:val="0378154F"/>
    <w:rsid w:val="048877EC"/>
    <w:rsid w:val="084E3FA1"/>
    <w:rsid w:val="09631240"/>
    <w:rsid w:val="0A9B4A6C"/>
    <w:rsid w:val="0B4E227D"/>
    <w:rsid w:val="12011556"/>
    <w:rsid w:val="134E0C3A"/>
    <w:rsid w:val="17D64B40"/>
    <w:rsid w:val="1E693A50"/>
    <w:rsid w:val="2704591A"/>
    <w:rsid w:val="2A4F6261"/>
    <w:rsid w:val="2B2A7A95"/>
    <w:rsid w:val="341C2467"/>
    <w:rsid w:val="34291213"/>
    <w:rsid w:val="34831B82"/>
    <w:rsid w:val="370018DF"/>
    <w:rsid w:val="384257A0"/>
    <w:rsid w:val="38755B90"/>
    <w:rsid w:val="3CC76953"/>
    <w:rsid w:val="40ED2226"/>
    <w:rsid w:val="44403BCE"/>
    <w:rsid w:val="518C2EDC"/>
    <w:rsid w:val="5950389E"/>
    <w:rsid w:val="598037DE"/>
    <w:rsid w:val="5C324F8B"/>
    <w:rsid w:val="5F7E4A39"/>
    <w:rsid w:val="63914045"/>
    <w:rsid w:val="658B1C7E"/>
    <w:rsid w:val="668C6F27"/>
    <w:rsid w:val="67B120D0"/>
    <w:rsid w:val="7208785F"/>
    <w:rsid w:val="73EF3F72"/>
    <w:rsid w:val="7C8E2B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character" w:styleId="5">
    <w:name w:val="Hyperlink"/>
    <w:basedOn w:val="4"/>
    <w:qFormat/>
    <w:uiPriority w:val="0"/>
    <w:rPr>
      <w:color w:val="0000FF"/>
      <w:u w:val="single"/>
    </w:rPr>
  </w:style>
  <w:style w:type="paragraph" w:customStyle="1" w:styleId="6">
    <w:name w:val="Table Text"/>
    <w:basedOn w:val="1"/>
    <w:semiHidden/>
    <w:qFormat/>
    <w:uiPriority w:val="0"/>
    <w:rPr>
      <w:rFonts w:ascii="宋体" w:hAnsi="宋体" w:eastAsia="宋体" w:cs="宋体"/>
      <w:sz w:val="15"/>
      <w:szCs w:val="15"/>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10509</Words>
  <Characters>10779</Characters>
  <Lines>0</Lines>
  <Paragraphs>0</Paragraphs>
  <TotalTime>0</TotalTime>
  <ScaleCrop>false</ScaleCrop>
  <LinksUpToDate>false</LinksUpToDate>
  <CharactersWithSpaces>10787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2025-03-27T02:40:00Z</dcterms:created>
  <dc:creator>Administrator</dc:creator>
  <cp:lastModifiedBy>Administrator</cp:lastModifiedBy>
  <cp:lastPrinted>2025-04-21T09:08:00Z</cp:lastPrinted>
  <dcterms:modified xsi:type="dcterms:W3CDTF">2025-04-24T08:33:07Z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BE2F72FDD91D4FCEAACCE1B0597DB816_13</vt:lpwstr>
  </property>
  <property fmtid="{D5CDD505-2E9C-101B-9397-08002B2CF9AE}" pid="4" name="KSOTemplateDocerSaveRecord">
    <vt:lpwstr>eyJoZGlkIjoiNWU2OGIxZGQ5ZmM0OTlhODc0NGI0NjVlZGE2MWQ0ZjkifQ==</vt:lpwstr>
  </property>
</Properties>
</file>