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扎赉诺尔区科技计划项目管理</w:t>
      </w:r>
      <w:r>
        <w:rPr>
          <w:rFonts w:hint="eastAsia" w:ascii="方正小标宋简体" w:hAnsi="方正小标宋简体" w:eastAsia="方正小标宋简体" w:cs="方正小标宋简体"/>
          <w:sz w:val="44"/>
          <w:szCs w:val="44"/>
          <w:lang w:eastAsia="zh-CN"/>
        </w:rPr>
        <w:t>工作规程</w:t>
      </w:r>
    </w:p>
    <w:p>
      <w:pPr>
        <w:spacing w:line="560" w:lineRule="exact"/>
        <w:jc w:val="center"/>
        <w:rPr>
          <w:rFonts w:hint="eastAsia" w:ascii="黑体" w:hAnsi="黑体" w:eastAsia="黑体" w:cs="黑体"/>
          <w:szCs w:val="32"/>
        </w:rPr>
      </w:pPr>
    </w:p>
    <w:p>
      <w:pPr>
        <w:spacing w:line="560" w:lineRule="exact"/>
        <w:jc w:val="center"/>
        <w:rPr>
          <w:rFonts w:hint="eastAsia" w:ascii="黑体" w:hAnsi="黑体" w:eastAsia="黑体" w:cs="黑体"/>
          <w:szCs w:val="32"/>
        </w:rPr>
      </w:pPr>
      <w:r>
        <w:rPr>
          <w:rFonts w:hint="eastAsia" w:ascii="黑体" w:hAnsi="黑体" w:eastAsia="黑体" w:cs="黑体"/>
          <w:szCs w:val="32"/>
        </w:rPr>
        <w:t>第一章  总则</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第一条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为规范和加强我区区级科技计划项目管理</w:t>
      </w:r>
      <w:r>
        <w:rPr>
          <w:rFonts w:hint="eastAsia" w:ascii="仿宋_GB2312" w:hAnsi="仿宋_GB2312" w:eastAsia="仿宋_GB2312" w:cs="仿宋_GB2312"/>
          <w:spacing w:val="1"/>
          <w:w w:val="95"/>
        </w:rPr>
        <w:t>，</w:t>
      </w:r>
      <w:r>
        <w:rPr>
          <w:rFonts w:hint="eastAsia" w:ascii="仿宋_GB2312" w:hAnsi="仿宋_GB2312" w:eastAsia="仿宋_GB2312" w:cs="仿宋_GB2312"/>
        </w:rPr>
        <w:t>提高科技计划项目管理的水平，进一步提高区级科技计划项目管理效率和财政科技资金使用效益，依</w:t>
      </w:r>
      <w:r>
        <w:rPr>
          <w:rFonts w:hint="eastAsia" w:ascii="仿宋_GB2312" w:hAnsi="仿宋_GB2312" w:eastAsia="仿宋_GB2312" w:cs="仿宋_GB2312"/>
          <w:spacing w:val="1"/>
          <w:w w:val="95"/>
        </w:rPr>
        <w:t>据国家、自治区、呼伦贝尔市有</w:t>
      </w:r>
      <w:r>
        <w:rPr>
          <w:rFonts w:hint="eastAsia" w:ascii="仿宋_GB2312" w:hAnsi="仿宋_GB2312" w:eastAsia="仿宋_GB2312" w:cs="仿宋_GB2312"/>
          <w:spacing w:val="6"/>
        </w:rPr>
        <w:t>关规定，结合我区实际，制定本</w:t>
      </w:r>
      <w:r>
        <w:rPr>
          <w:rFonts w:hint="eastAsia" w:ascii="仿宋_GB2312" w:hAnsi="仿宋_GB2312" w:eastAsia="仿宋_GB2312" w:cs="仿宋_GB2312"/>
          <w:spacing w:val="6"/>
          <w:lang w:eastAsia="zh-CN"/>
        </w:rPr>
        <w:t>规程</w:t>
      </w:r>
      <w:r>
        <w:rPr>
          <w:rFonts w:hint="eastAsia" w:ascii="仿宋_GB2312" w:hAnsi="仿宋_GB2312" w:eastAsia="仿宋_GB2312" w:cs="仿宋_GB2312"/>
          <w:spacing w:val="6"/>
        </w:rPr>
        <w:t>。</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 xml:space="preserve">第二条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扎赉诺尔区科技计划项目是指由区工信科技</w:t>
      </w:r>
      <w:r>
        <w:rPr>
          <w:rFonts w:hint="eastAsia" w:ascii="仿宋_GB2312" w:hAnsi="仿宋_GB2312" w:eastAsia="仿宋_GB2312" w:cs="仿宋_GB2312"/>
          <w:lang w:eastAsia="zh-CN"/>
        </w:rPr>
        <w:t>商务</w:t>
      </w:r>
      <w:r>
        <w:rPr>
          <w:rFonts w:hint="eastAsia" w:ascii="仿宋_GB2312" w:hAnsi="仿宋_GB2312" w:eastAsia="仿宋_GB2312" w:cs="仿宋_GB2312"/>
        </w:rPr>
        <w:t>局组织向社会征集，由法人单位进行申报，经区工信科技</w:t>
      </w:r>
      <w:r>
        <w:rPr>
          <w:rFonts w:hint="eastAsia" w:ascii="仿宋_GB2312" w:hAnsi="仿宋_GB2312" w:eastAsia="仿宋_GB2312" w:cs="仿宋_GB2312"/>
          <w:lang w:eastAsia="zh-CN"/>
        </w:rPr>
        <w:t>商务</w:t>
      </w:r>
      <w:r>
        <w:rPr>
          <w:rFonts w:hint="eastAsia" w:ascii="仿宋_GB2312" w:hAnsi="仿宋_GB2312" w:eastAsia="仿宋_GB2312" w:cs="仿宋_GB2312"/>
        </w:rPr>
        <w:t>局审核立项，并由法人单位承担和实施的科学技术研究项目。</w:t>
      </w:r>
    </w:p>
    <w:p>
      <w:pPr>
        <w:pStyle w:val="2"/>
        <w:spacing w:line="560" w:lineRule="exact"/>
        <w:ind w:left="0" w:firstLine="640" w:firstLineChars="200"/>
        <w:jc w:val="both"/>
        <w:rPr>
          <w:rFonts w:hint="eastAsia" w:ascii="仿宋_GB2312" w:hAnsi="仿宋_GB2312" w:eastAsia="仿宋_GB2312" w:cs="仿宋_GB2312"/>
          <w:spacing w:val="8"/>
        </w:rPr>
      </w:pPr>
      <w:r>
        <w:rPr>
          <w:rFonts w:hint="eastAsia" w:ascii="仿宋_GB2312" w:hAnsi="仿宋_GB2312" w:eastAsia="仿宋_GB2312" w:cs="仿宋_GB2312"/>
          <w:kern w:val="2"/>
          <w:szCs w:val="24"/>
          <w:lang w:eastAsia="zh-CN"/>
        </w:rPr>
        <w:t>第三条</w:t>
      </w:r>
      <w:r>
        <w:rPr>
          <w:rFonts w:hint="eastAsia" w:ascii="Microsoft JhengHei"/>
          <w:b/>
          <w:lang w:eastAsia="zh-CN"/>
        </w:rPr>
        <w:t xml:space="preserve"> </w:t>
      </w:r>
      <w:r>
        <w:rPr>
          <w:rFonts w:hint="eastAsia" w:ascii="Microsoft JhengHei"/>
          <w:b/>
          <w:lang w:val="en-US" w:eastAsia="zh-CN"/>
        </w:rPr>
        <w:t xml:space="preserve"> </w:t>
      </w:r>
      <w:r>
        <w:rPr>
          <w:rFonts w:hint="eastAsia" w:ascii="仿宋_GB2312" w:hAnsi="仿宋_GB2312" w:eastAsia="仿宋_GB2312" w:cs="仿宋_GB2312"/>
          <w:spacing w:val="8"/>
        </w:rPr>
        <w:t>本办法适用于</w:t>
      </w:r>
      <w:r>
        <w:rPr>
          <w:rFonts w:hint="eastAsia" w:ascii="仿宋_GB2312" w:hAnsi="仿宋_GB2312" w:eastAsia="仿宋_GB2312" w:cs="仿宋_GB2312"/>
        </w:rPr>
        <w:t>扎赉诺尔区</w:t>
      </w:r>
      <w:r>
        <w:rPr>
          <w:rFonts w:hint="eastAsia" w:ascii="仿宋_GB2312" w:hAnsi="仿宋_GB2312" w:eastAsia="仿宋_GB2312" w:cs="仿宋_GB2312"/>
          <w:spacing w:val="8"/>
        </w:rPr>
        <w:t>科技计划项目申报、受理、</w:t>
      </w:r>
      <w:r>
        <w:rPr>
          <w:rFonts w:hint="eastAsia" w:ascii="仿宋_GB2312" w:hAnsi="仿宋_GB2312" w:eastAsia="仿宋_GB2312" w:cs="仿宋_GB2312"/>
          <w:spacing w:val="8"/>
          <w:lang w:eastAsia="zh-CN"/>
        </w:rPr>
        <w:t>审核、</w:t>
      </w:r>
      <w:r>
        <w:rPr>
          <w:rFonts w:hint="eastAsia" w:ascii="仿宋_GB2312" w:hAnsi="仿宋_GB2312" w:eastAsia="仿宋_GB2312" w:cs="仿宋_GB2312"/>
          <w:spacing w:val="8"/>
        </w:rPr>
        <w:t>立项、实施、变更、终止、撤销、验收等各环节的管理工作。</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pacing w:val="0"/>
          <w:sz w:val="32"/>
        </w:rPr>
      </w:pPr>
      <w:r>
        <w:rPr>
          <w:rFonts w:hint="eastAsia" w:ascii="仿宋_GB2312" w:hAnsi="仿宋_GB2312" w:eastAsia="仿宋_GB2312" w:cs="仿宋_GB2312"/>
          <w:color w:val="auto"/>
          <w:spacing w:val="0"/>
          <w:kern w:val="0"/>
          <w:sz w:val="32"/>
          <w:szCs w:val="32"/>
          <w:lang w:val="en-US" w:eastAsia="zh-CN" w:bidi="ar"/>
        </w:rPr>
        <w:t>第四条  扎赉诺尔区科技计划包括：应用技术研究与开发计划、科技重点专项计划、科技成果转化计划、创新能力提升计划四类。</w:t>
      </w:r>
      <w:r>
        <w:rPr>
          <w:rFonts w:hint="eastAsia" w:ascii="仿宋_GB2312" w:hAnsi="仿宋_GB2312" w:eastAsia="仿宋_GB2312" w:cs="仿宋_GB2312"/>
          <w:color w:val="auto"/>
          <w:spacing w:val="0"/>
          <w:kern w:val="0"/>
          <w:sz w:val="32"/>
          <w:szCs w:val="32"/>
          <w:highlight w:val="none"/>
          <w:lang w:val="en-US" w:eastAsia="zh-CN" w:bidi="ar"/>
        </w:rPr>
        <w:t>根据经济社会发展对科技的需求</w:t>
      </w:r>
      <w:r>
        <w:rPr>
          <w:rFonts w:hint="eastAsia" w:ascii="仿宋_GB2312" w:hAnsi="仿宋_GB2312" w:eastAsia="仿宋_GB2312" w:cs="仿宋_GB2312"/>
          <w:color w:val="auto"/>
          <w:spacing w:val="0"/>
          <w:kern w:val="0"/>
          <w:sz w:val="32"/>
          <w:szCs w:val="32"/>
          <w:lang w:val="en-US" w:eastAsia="zh-CN" w:bidi="ar"/>
        </w:rPr>
        <w:t>，可采取公开竞争、定向择优、定向委托、“揭榜挂帅”“赛马”等形式组织项目。</w:t>
      </w:r>
    </w:p>
    <w:p>
      <w:pPr>
        <w:pStyle w:val="2"/>
        <w:spacing w:line="560" w:lineRule="exact"/>
        <w:ind w:left="0" w:firstLine="640" w:firstLineChars="200"/>
        <w:jc w:val="both"/>
        <w:rPr>
          <w:rFonts w:hint="eastAsia" w:ascii="仿宋_GB2312" w:hAnsi="仿宋_GB2312" w:eastAsia="仿宋_GB2312" w:cs="仿宋_GB2312"/>
          <w:color w:val="auto"/>
          <w:spacing w:val="8"/>
          <w:highlight w:val="none"/>
        </w:rPr>
        <w:sectPr>
          <w:pgSz w:w="11906" w:h="16838"/>
          <w:pgMar w:top="2098" w:right="1531" w:bottom="1984" w:left="1531" w:header="851" w:footer="992" w:gutter="0"/>
          <w:pgNumType w:fmt="numberInDash"/>
          <w:cols w:space="720" w:num="1"/>
          <w:docGrid w:type="lines" w:linePitch="465" w:charSpace="0"/>
        </w:sectPr>
      </w:pPr>
      <w:r>
        <w:rPr>
          <w:rFonts w:hint="eastAsia" w:ascii="仿宋_GB2312" w:hAnsi="仿宋_GB2312" w:eastAsia="仿宋_GB2312" w:cs="仿宋_GB2312"/>
          <w:kern w:val="2"/>
          <w:szCs w:val="24"/>
          <w:lang w:eastAsia="zh-CN"/>
        </w:rPr>
        <w:t xml:space="preserve">第五条 </w:t>
      </w:r>
      <w:r>
        <w:rPr>
          <w:rFonts w:hint="eastAsia" w:ascii="仿宋_GB2312" w:hAnsi="仿宋_GB2312" w:eastAsia="仿宋_GB2312" w:cs="仿宋_GB2312"/>
          <w:kern w:val="2"/>
          <w:szCs w:val="24"/>
          <w:lang w:val="en-US" w:eastAsia="zh-CN"/>
        </w:rPr>
        <w:t xml:space="preserve"> </w:t>
      </w:r>
      <w:r>
        <w:rPr>
          <w:rFonts w:hint="eastAsia" w:ascii="仿宋_GB2312" w:hAnsi="仿宋_GB2312" w:eastAsia="仿宋_GB2312" w:cs="仿宋_GB2312"/>
        </w:rPr>
        <w:t>扎赉诺尔区</w:t>
      </w:r>
      <w:r>
        <w:rPr>
          <w:rFonts w:hint="eastAsia" w:ascii="仿宋_GB2312" w:hAnsi="仿宋_GB2312" w:eastAsia="仿宋_GB2312" w:cs="仿宋_GB2312"/>
          <w:color w:val="auto"/>
          <w:spacing w:val="8"/>
        </w:rPr>
        <w:t>科技计划项目</w:t>
      </w:r>
      <w:r>
        <w:rPr>
          <w:rFonts w:hint="eastAsia" w:ascii="仿宋_GB2312" w:hAnsi="仿宋_GB2312" w:eastAsia="仿宋_GB2312" w:cs="仿宋_GB2312"/>
          <w:color w:val="auto"/>
          <w:spacing w:val="8"/>
          <w:lang w:eastAsia="zh-CN"/>
        </w:rPr>
        <w:t>资金实行多元化投入，资金来源分扎赉诺尔区财政科技资金和其他资金来源。其他资金来源包括单位自筹资金以及从其他渠道获得的资金。扎赉诺尔区财政科技专项经费</w:t>
      </w:r>
      <w:r>
        <w:rPr>
          <w:rFonts w:hint="eastAsia" w:ascii="仿宋_GB2312" w:hAnsi="仿宋_GB2312" w:eastAsia="仿宋_GB2312" w:cs="仿宋_GB2312"/>
          <w:color w:val="auto"/>
          <w:spacing w:val="8"/>
        </w:rPr>
        <w:t>的支持方式主要是前期资助或</w:t>
      </w:r>
      <w:r>
        <w:rPr>
          <w:rFonts w:hint="eastAsia" w:ascii="仿宋_GB2312" w:hAnsi="仿宋_GB2312" w:eastAsia="仿宋_GB2312" w:cs="仿宋_GB2312"/>
          <w:color w:val="auto"/>
          <w:spacing w:val="8"/>
          <w:highlight w:val="none"/>
        </w:rPr>
        <w:t>后</w:t>
      </w:r>
    </w:p>
    <w:p>
      <w:pPr>
        <w:pStyle w:val="2"/>
        <w:spacing w:line="560" w:lineRule="exact"/>
        <w:jc w:val="both"/>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spacing w:val="8"/>
          <w:highlight w:val="none"/>
        </w:rPr>
        <w:t>补助</w:t>
      </w:r>
      <w:r>
        <w:rPr>
          <w:rFonts w:hint="eastAsia" w:ascii="仿宋_GB2312" w:hAnsi="仿宋_GB2312" w:eastAsia="仿宋_GB2312" w:cs="仿宋_GB2312"/>
          <w:color w:val="auto"/>
          <w:spacing w:val="8"/>
          <w:lang w:eastAsia="zh-CN"/>
        </w:rPr>
        <w:t>，专项资金使用按照《内蒙古自治区财政厅</w:t>
      </w:r>
      <w:r>
        <w:rPr>
          <w:rFonts w:hint="eastAsia" w:ascii="仿宋_GB2312" w:hAnsi="仿宋_GB2312" w:eastAsia="仿宋_GB2312" w:cs="仿宋_GB2312"/>
          <w:color w:val="auto"/>
          <w:spacing w:val="8"/>
          <w:lang w:val="en-US" w:eastAsia="zh-CN"/>
        </w:rPr>
        <w:t xml:space="preserve"> 内蒙古自治区科学技术厅关于印发&lt;内蒙古自治区本级科技资金管理办法&gt;的通知》执行。</w:t>
      </w:r>
    </w:p>
    <w:p>
      <w:pPr>
        <w:spacing w:line="560" w:lineRule="exact"/>
        <w:jc w:val="center"/>
        <w:rPr>
          <w:rFonts w:hint="eastAsia" w:ascii="黑体" w:hAnsi="黑体" w:eastAsia="黑体" w:cs="黑体"/>
          <w:szCs w:val="32"/>
        </w:rPr>
      </w:pPr>
      <w:r>
        <w:rPr>
          <w:rFonts w:hint="eastAsia" w:ascii="黑体" w:hAnsi="黑体" w:eastAsia="黑体" w:cs="黑体"/>
          <w:szCs w:val="32"/>
        </w:rPr>
        <w:t>第二章 组织管理</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w:t>
      </w:r>
      <w:r>
        <w:rPr>
          <w:rFonts w:hint="eastAsia" w:ascii="仿宋_GB2312" w:hAnsi="仿宋_GB2312" w:eastAsia="仿宋_GB2312" w:cs="仿宋_GB2312"/>
          <w:lang w:eastAsia="zh-CN"/>
        </w:rPr>
        <w:t>六</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区工信科技</w:t>
      </w:r>
      <w:r>
        <w:rPr>
          <w:rFonts w:hint="eastAsia" w:ascii="仿宋_GB2312" w:hAnsi="仿宋_GB2312" w:eastAsia="仿宋_GB2312" w:cs="仿宋_GB2312"/>
          <w:lang w:eastAsia="zh-CN"/>
        </w:rPr>
        <w:t>商务</w:t>
      </w:r>
      <w:r>
        <w:rPr>
          <w:rFonts w:hint="eastAsia" w:ascii="仿宋_GB2312" w:hAnsi="仿宋_GB2312" w:eastAsia="仿宋_GB2312" w:cs="仿宋_GB2312"/>
        </w:rPr>
        <w:t xml:space="preserve">局是区本级科技计划项目（以下简称项目）的综合管理部门，在项目管理中的主要职责：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（一）适时发布征集项目通知或项目申报指南；</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（二）组织项目申报、审核、立项，签订科技计划项目任务书（以下简称任务书），确定并下达计划项目经费额度；</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（三）对项目</w:t>
      </w:r>
      <w:r>
        <w:rPr>
          <w:rFonts w:hint="eastAsia" w:ascii="仿宋_GB2312" w:hAnsi="仿宋_GB2312" w:eastAsia="仿宋_GB2312" w:cs="仿宋_GB2312"/>
          <w:highlight w:val="none"/>
        </w:rPr>
        <w:t>执行和经费使用情况</w:t>
      </w:r>
      <w:r>
        <w:rPr>
          <w:rFonts w:hint="eastAsia" w:ascii="仿宋_GB2312" w:hAnsi="仿宋_GB2312" w:eastAsia="仿宋_GB2312" w:cs="仿宋_GB2312"/>
        </w:rPr>
        <w:t>进行监督检查；审核项目变更、撤销或终止申请，并作出决定或者结论；组织项目验收。</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w:t>
      </w:r>
      <w:r>
        <w:rPr>
          <w:rFonts w:hint="eastAsia" w:ascii="仿宋_GB2312" w:hAnsi="仿宋_GB2312" w:eastAsia="仿宋_GB2312" w:cs="仿宋_GB2312"/>
          <w:lang w:eastAsia="zh-CN"/>
        </w:rPr>
        <w:t>七</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项目承担单位是在扎赉诺尔区域内具有独立法人资格的企事业单位。主要职责是：</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（一）负责组织项目实施和管理并按要求落实匹配经费；按照规定管理和使用财政资金，按时完成项目任务书规定的任务目标；</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（二）按要求报告</w:t>
      </w:r>
      <w:r>
        <w:rPr>
          <w:rFonts w:hint="eastAsia" w:ascii="仿宋_GB2312" w:hAnsi="仿宋_GB2312" w:eastAsia="仿宋_GB2312" w:cs="仿宋_GB2312"/>
          <w:highlight w:val="none"/>
        </w:rPr>
        <w:t>项目执行</w:t>
      </w:r>
      <w:r>
        <w:rPr>
          <w:rFonts w:hint="eastAsia" w:ascii="仿宋_GB2312" w:hAnsi="仿宋_GB2312" w:eastAsia="仿宋_GB2312" w:cs="仿宋_GB2312"/>
          <w:highlight w:val="none"/>
          <w:lang w:eastAsia="zh-CN"/>
        </w:rPr>
        <w:t>和</w:t>
      </w:r>
      <w:r>
        <w:rPr>
          <w:rFonts w:hint="eastAsia" w:ascii="仿宋_GB2312" w:hAnsi="仿宋_GB2312" w:eastAsia="仿宋_GB2312" w:cs="仿宋_GB2312"/>
          <w:highlight w:val="none"/>
        </w:rPr>
        <w:t>经费使用情况</w:t>
      </w:r>
      <w:r>
        <w:rPr>
          <w:rFonts w:hint="eastAsia" w:ascii="仿宋_GB2312" w:hAnsi="仿宋_GB2312" w:eastAsia="仿宋_GB2312" w:cs="仿宋_GB2312"/>
        </w:rPr>
        <w:t>，确保提交材料的真实性、准确性和完整性；负责解决项目实施中的问题和困难，提交相关材料等；根据项目实施情况，在规定时间内提交项目变更、撤销、终止、验收等申请；</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（三）配合主管部门开展监督评价等管理工作；承担违规责任后果；项目撤销、终止的，</w:t>
      </w:r>
      <w:r>
        <w:rPr>
          <w:rFonts w:hint="eastAsia" w:ascii="仿宋_GB2312" w:hAnsi="仿宋_GB2312" w:eastAsia="仿宋_GB2312" w:cs="仿宋_GB2312"/>
          <w:color w:val="auto"/>
        </w:rPr>
        <w:t>综合绩效评价（验收）结论为不通过或结题的，按要求返还相应财政</w:t>
      </w:r>
      <w:r>
        <w:rPr>
          <w:rFonts w:hint="eastAsia" w:ascii="仿宋_GB2312" w:hAnsi="仿宋_GB2312" w:eastAsia="仿宋_GB2312" w:cs="仿宋_GB2312"/>
        </w:rPr>
        <w:t>资金。</w:t>
      </w:r>
    </w:p>
    <w:p>
      <w:pPr>
        <w:spacing w:line="560" w:lineRule="exact"/>
        <w:ind w:firstLine="640" w:firstLineChars="200"/>
        <w:rPr>
          <w:rFonts w:hint="eastAsia" w:ascii="仿宋_GB2312" w:hAnsi="仿宋_GB2312" w:eastAsia="仿宋_GB2312" w:cs="仿宋_GB2312"/>
        </w:rPr>
      </w:pPr>
    </w:p>
    <w:p>
      <w:pPr>
        <w:spacing w:line="560" w:lineRule="exact"/>
        <w:jc w:val="center"/>
        <w:rPr>
          <w:rFonts w:ascii="仿宋_GB2312" w:hAnsi="仿宋_GB2312" w:eastAsia="仿宋_GB2312" w:cs="仿宋_GB2312"/>
        </w:rPr>
      </w:pPr>
      <w:r>
        <w:rPr>
          <w:rFonts w:hint="eastAsia" w:ascii="黑体" w:hAnsi="黑体" w:eastAsia="黑体" w:cs="黑体"/>
          <w:b w:val="0"/>
          <w:bCs w:val="0"/>
        </w:rPr>
        <w:t>第三章  申报与管理</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w:t>
      </w:r>
      <w:r>
        <w:rPr>
          <w:rFonts w:hint="eastAsia" w:ascii="仿宋_GB2312" w:hAnsi="仿宋_GB2312" w:eastAsia="仿宋_GB2312" w:cs="仿宋_GB2312"/>
          <w:lang w:eastAsia="zh-CN"/>
        </w:rPr>
        <w:t>八</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区工信科技</w:t>
      </w:r>
      <w:r>
        <w:rPr>
          <w:rFonts w:hint="eastAsia" w:ascii="仿宋_GB2312" w:hAnsi="仿宋_GB2312" w:eastAsia="仿宋_GB2312" w:cs="仿宋_GB2312"/>
          <w:lang w:eastAsia="zh-CN"/>
        </w:rPr>
        <w:t>商务</w:t>
      </w:r>
      <w:r>
        <w:rPr>
          <w:rFonts w:hint="eastAsia" w:ascii="仿宋_GB2312" w:hAnsi="仿宋_GB2312" w:eastAsia="仿宋_GB2312" w:cs="仿宋_GB2312"/>
        </w:rPr>
        <w:t>局在发布项目申报指南，受理法人单位的科技项目申报基础上，根据全区经济、社会、科技发展规划和战略，在深入调研后，择优安排每年科技计划项目立项。</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w:t>
      </w:r>
      <w:r>
        <w:rPr>
          <w:rFonts w:hint="eastAsia" w:ascii="仿宋_GB2312" w:hAnsi="仿宋_GB2312" w:eastAsia="仿宋_GB2312" w:cs="仿宋_GB2312"/>
          <w:lang w:eastAsia="zh-CN"/>
        </w:rPr>
        <w:t>九</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项目申请者应符合以下要求：</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（一）在相关研究领域和专业应具有一定的学术地位和技术优势；</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（二）具有为完成项目必备的人才条件和技术装备；</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（三）具有与项目相关的研究开发经历和研究开发积累；</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（四）经营状况良好，具有健全的科研、财务等管理制度，具备完成项目任务的基础条件和能力，能为项目提供配套资金及其他必要的保障条件；</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（五）具有完成项目所需的组织管理和协调能力；</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（六）具有完成项目的良好信誉度。</w:t>
      </w:r>
    </w:p>
    <w:p>
      <w:pPr>
        <w:spacing w:line="560" w:lineRule="exact"/>
        <w:ind w:firstLine="640" w:firstLineChars="200"/>
        <w:rPr>
          <w:rFonts w:ascii="仿宋_GB2312" w:hAnsi="仿宋_GB2312" w:eastAsia="仿宋_GB2312" w:cs="仿宋_GB2312"/>
        </w:rPr>
      </w:pPr>
      <w:r>
        <w:rPr>
          <w:rFonts w:hint="eastAsia" w:ascii="仿宋_GB2312" w:hAnsi="仿宋_GB2312" w:eastAsia="仿宋_GB2312" w:cs="仿宋_GB2312"/>
        </w:rPr>
        <w:t>第</w:t>
      </w:r>
      <w:r>
        <w:rPr>
          <w:rFonts w:hint="eastAsia" w:ascii="仿宋_GB2312" w:hAnsi="仿宋_GB2312" w:eastAsia="仿宋_GB2312" w:cs="仿宋_GB2312"/>
          <w:lang w:eastAsia="zh-CN"/>
        </w:rPr>
        <w:t>十</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已承担本年度本级科技计划项目或历年本级科技计划项目未结题验收的不得申报本年度本级科技计划项目。</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第十</w:t>
      </w:r>
      <w:r>
        <w:rPr>
          <w:rFonts w:hint="eastAsia" w:ascii="仿宋_GB2312" w:hAnsi="仿宋_GB2312" w:eastAsia="仿宋_GB2312" w:cs="仿宋_GB2312"/>
          <w:lang w:eastAsia="zh-CN"/>
        </w:rPr>
        <w:t>一</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申请项目应填写及提供以下材料：</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（一</w:t>
      </w:r>
      <w:r>
        <w:rPr>
          <w:rFonts w:hint="eastAsia" w:ascii="仿宋_GB2312" w:hAnsi="仿宋_GB2312" w:eastAsia="仿宋_GB2312" w:cs="仿宋_GB2312"/>
          <w:lang w:eastAsia="zh-CN"/>
        </w:rPr>
        <w:t>）</w:t>
      </w:r>
      <w:r>
        <w:rPr>
          <w:rFonts w:hint="eastAsia" w:ascii="仿宋_GB2312" w:hAnsi="仿宋_GB2312" w:eastAsia="仿宋_GB2312" w:cs="仿宋_GB2312"/>
        </w:rPr>
        <w:t>《扎赉诺尔区科技计划项目申报书》；</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（二）申报单位认为与所申报项目直接相关的其他说明材料，如单位资质证明、单位财务报表、前期研究成果及工作基础材料、合作协议、资金承诺函等。</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第十</w:t>
      </w:r>
      <w:r>
        <w:rPr>
          <w:rFonts w:hint="eastAsia" w:ascii="仿宋_GB2312" w:hAnsi="仿宋_GB2312" w:eastAsia="仿宋_GB2312" w:cs="仿宋_GB2312"/>
          <w:lang w:eastAsia="zh-CN"/>
        </w:rPr>
        <w:t>二</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法人单位申报完毕后由</w:t>
      </w:r>
      <w:r>
        <w:rPr>
          <w:rFonts w:hint="eastAsia" w:ascii="仿宋_GB2312" w:hAnsi="仿宋_GB2312" w:eastAsia="仿宋_GB2312" w:cs="仿宋_GB2312"/>
          <w:color w:val="auto"/>
        </w:rPr>
        <w:t>扎赉诺尔区工信科技</w:t>
      </w:r>
      <w:r>
        <w:rPr>
          <w:rFonts w:hint="eastAsia" w:ascii="仿宋_GB2312" w:hAnsi="仿宋_GB2312" w:eastAsia="仿宋_GB2312" w:cs="仿宋_GB2312"/>
          <w:color w:val="auto"/>
          <w:lang w:eastAsia="zh-CN"/>
        </w:rPr>
        <w:t>商务</w:t>
      </w:r>
      <w:r>
        <w:rPr>
          <w:rFonts w:hint="eastAsia" w:ascii="仿宋_GB2312" w:hAnsi="仿宋_GB2312" w:eastAsia="仿宋_GB2312" w:cs="仿宋_GB2312"/>
          <w:color w:val="auto"/>
        </w:rPr>
        <w:t>局开展项目申报受理、组织审核、项目验收</w:t>
      </w:r>
      <w:r>
        <w:rPr>
          <w:rFonts w:hint="eastAsia" w:ascii="仿宋_GB2312" w:hAnsi="仿宋_GB2312" w:eastAsia="仿宋_GB2312" w:cs="仿宋_GB2312"/>
        </w:rPr>
        <w:t>等。可采取会议、现场核查等方式进行。</w:t>
      </w:r>
    </w:p>
    <w:p>
      <w:pPr>
        <w:spacing w:line="560" w:lineRule="exact"/>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第十</w:t>
      </w:r>
      <w:r>
        <w:rPr>
          <w:rFonts w:hint="eastAsia" w:ascii="仿宋_GB2312" w:hAnsi="仿宋_GB2312" w:eastAsia="仿宋_GB2312" w:cs="仿宋_GB2312"/>
          <w:color w:val="auto"/>
          <w:lang w:eastAsia="zh-CN"/>
        </w:rPr>
        <w:t>三</w:t>
      </w:r>
      <w:r>
        <w:rPr>
          <w:rFonts w:hint="eastAsia" w:ascii="仿宋_GB2312" w:hAnsi="仿宋_GB2312" w:eastAsia="仿宋_GB2312" w:cs="仿宋_GB2312"/>
          <w:color w:val="auto"/>
        </w:rPr>
        <w:t>条</w:t>
      </w:r>
      <w:r>
        <w:rPr>
          <w:rFonts w:hint="eastAsia" w:ascii="仿宋_GB2312" w:hAnsi="仿宋_GB2312" w:eastAsia="仿宋_GB2312" w:cs="仿宋_GB2312"/>
          <w:color w:val="auto"/>
          <w:lang w:val="en-US" w:eastAsia="zh-CN"/>
        </w:rPr>
        <w:t xml:space="preserve">  </w:t>
      </w:r>
      <w:r>
        <w:rPr>
          <w:rFonts w:hint="eastAsia" w:ascii="仿宋_GB2312" w:hAnsi="仿宋_GB2312" w:eastAsia="仿宋_GB2312" w:cs="仿宋_GB2312"/>
          <w:color w:val="auto"/>
        </w:rPr>
        <w:t>区工信科技</w:t>
      </w:r>
      <w:r>
        <w:rPr>
          <w:rFonts w:hint="eastAsia" w:ascii="仿宋_GB2312" w:hAnsi="仿宋_GB2312" w:eastAsia="仿宋_GB2312" w:cs="仿宋_GB2312"/>
          <w:color w:val="auto"/>
          <w:lang w:eastAsia="zh-CN"/>
        </w:rPr>
        <w:t>商务</w:t>
      </w:r>
      <w:r>
        <w:rPr>
          <w:rFonts w:hint="eastAsia" w:ascii="仿宋_GB2312" w:hAnsi="仿宋_GB2312" w:eastAsia="仿宋_GB2312" w:cs="仿宋_GB2312"/>
          <w:color w:val="auto"/>
        </w:rPr>
        <w:t>局业务科室提出择优立项建议，上报局党组会议研究通过后确定拟立项项目，通过官方网站等渠道对拟立项项目进行公示。在符合保密规定的前提下，公示期不少于5个工作日。根据公示结果，及时下达和拨付项目资金。</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第十</w:t>
      </w:r>
      <w:r>
        <w:rPr>
          <w:rFonts w:hint="eastAsia" w:ascii="仿宋_GB2312" w:hAnsi="仿宋_GB2312" w:eastAsia="仿宋_GB2312" w:cs="仿宋_GB2312"/>
          <w:lang w:eastAsia="zh-CN"/>
        </w:rPr>
        <w:t>四</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对已批准立项项目，30个工作日内与项目承担单位签订项目任务书，经业务科室审核归档。</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第十</w:t>
      </w:r>
      <w:r>
        <w:rPr>
          <w:rFonts w:hint="eastAsia" w:ascii="仿宋_GB2312" w:hAnsi="仿宋_GB2312" w:eastAsia="仿宋_GB2312" w:cs="仿宋_GB2312"/>
          <w:lang w:eastAsia="zh-CN"/>
        </w:rPr>
        <w:t>五</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项目有下列情形之一的，应予撤销立项：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（一）在项目申请阶段伪造或编造申请材料等，骗取立项资格的；</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（二）未按要求在规定时限内签订任务书的；</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（三）</w:t>
      </w:r>
      <w:r>
        <w:rPr>
          <w:rFonts w:hint="eastAsia" w:ascii="仿宋_GB2312" w:hAnsi="仿宋_GB2312" w:eastAsia="仿宋_GB2312" w:cs="仿宋_GB2312"/>
          <w:highlight w:val="none"/>
        </w:rPr>
        <w:t>签订任务书阶段，项目承担单位书面申请撤销立项的</w:t>
      </w:r>
      <w:r>
        <w:rPr>
          <w:rFonts w:hint="eastAsia" w:ascii="仿宋_GB2312" w:hAnsi="仿宋_GB2312" w:eastAsia="仿宋_GB2312" w:cs="仿宋_GB2312"/>
        </w:rPr>
        <w:t>。</w:t>
      </w:r>
    </w:p>
    <w:p>
      <w:pPr>
        <w:spacing w:line="560" w:lineRule="exact"/>
        <w:ind w:firstLine="640" w:firstLineChars="200"/>
        <w:jc w:val="center"/>
        <w:rPr>
          <w:rFonts w:hint="eastAsia" w:ascii="黑体" w:hAnsi="黑体" w:eastAsia="黑体" w:cs="黑体"/>
        </w:rPr>
      </w:pPr>
    </w:p>
    <w:p>
      <w:pPr>
        <w:spacing w:line="560" w:lineRule="exact"/>
        <w:ind w:firstLine="640" w:firstLineChars="200"/>
        <w:jc w:val="center"/>
        <w:rPr>
          <w:rFonts w:hint="eastAsia" w:ascii="仿宋_GB2312" w:hAnsi="仿宋_GB2312" w:eastAsia="仿宋_GB2312" w:cs="仿宋_GB2312"/>
        </w:rPr>
      </w:pPr>
      <w:r>
        <w:rPr>
          <w:rFonts w:hint="eastAsia" w:ascii="黑体" w:hAnsi="黑体" w:eastAsia="黑体" w:cs="黑体"/>
        </w:rPr>
        <w:t>第四章  实施管理</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第十</w:t>
      </w:r>
      <w:r>
        <w:rPr>
          <w:rFonts w:hint="eastAsia" w:ascii="仿宋_GB2312" w:hAnsi="仿宋_GB2312" w:eastAsia="仿宋_GB2312" w:cs="仿宋_GB2312"/>
          <w:lang w:eastAsia="zh-CN"/>
        </w:rPr>
        <w:t>六</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项目实施以项目承担单位自我管理、自我动态调整为主。项目实施过程中有以下情形之一的，项目承担单位应当及时申请调整。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（一）涉及变更项目承担单位、项目负责人等可能影响项目实施的重大事项，项目承担单位应当及时提出申请，报区工信科技</w:t>
      </w:r>
      <w:r>
        <w:rPr>
          <w:rFonts w:hint="eastAsia" w:ascii="仿宋_GB2312" w:hAnsi="仿宋_GB2312" w:eastAsia="仿宋_GB2312" w:cs="仿宋_GB2312"/>
          <w:lang w:eastAsia="zh-CN"/>
        </w:rPr>
        <w:t>商务</w:t>
      </w:r>
      <w:r>
        <w:rPr>
          <w:rFonts w:hint="eastAsia" w:ascii="仿宋_GB2312" w:hAnsi="仿宋_GB2312" w:eastAsia="仿宋_GB2312" w:cs="仿宋_GB2312"/>
        </w:rPr>
        <w:t xml:space="preserve">局审核同意。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（二）项目因故不能按期完成须申请延期的，项目承担单位应当在项目执行期结束前3个月提出延期申请，报区工信科技</w:t>
      </w:r>
      <w:r>
        <w:rPr>
          <w:rFonts w:hint="eastAsia" w:ascii="仿宋_GB2312" w:hAnsi="仿宋_GB2312" w:eastAsia="仿宋_GB2312" w:cs="仿宋_GB2312"/>
          <w:lang w:eastAsia="zh-CN"/>
        </w:rPr>
        <w:t>商务</w:t>
      </w:r>
      <w:r>
        <w:rPr>
          <w:rFonts w:hint="eastAsia" w:ascii="仿宋_GB2312" w:hAnsi="仿宋_GB2312" w:eastAsia="仿宋_GB2312" w:cs="仿宋_GB2312"/>
        </w:rPr>
        <w:t xml:space="preserve">局审核同意。项目延期原则上只能申请1次，延期时间原则上不超过1年。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第十</w:t>
      </w:r>
      <w:r>
        <w:rPr>
          <w:rFonts w:hint="eastAsia" w:ascii="仿宋_GB2312" w:hAnsi="仿宋_GB2312" w:eastAsia="仿宋_GB2312" w:cs="仿宋_GB2312"/>
          <w:lang w:eastAsia="zh-CN"/>
        </w:rPr>
        <w:t>七</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项目负责人可按规定自主调整科研团队，在不降低考核指标的前提下调整研究方案和技术路线，赋予科研人员更大技术路线决策权。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第十</w:t>
      </w:r>
      <w:r>
        <w:rPr>
          <w:rFonts w:hint="eastAsia" w:ascii="仿宋_GB2312" w:hAnsi="仿宋_GB2312" w:eastAsia="仿宋_GB2312" w:cs="仿宋_GB2312"/>
          <w:lang w:eastAsia="zh-CN"/>
        </w:rPr>
        <w:t>八</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项目实施过程中有以下情形之一的，项目承担单位及时申请终止项目，由区工信科技</w:t>
      </w:r>
      <w:r>
        <w:rPr>
          <w:rFonts w:hint="eastAsia" w:ascii="仿宋_GB2312" w:hAnsi="仿宋_GB2312" w:eastAsia="仿宋_GB2312" w:cs="仿宋_GB2312"/>
          <w:lang w:eastAsia="zh-CN"/>
        </w:rPr>
        <w:t>商务</w:t>
      </w:r>
      <w:bookmarkStart w:id="0" w:name="_GoBack"/>
      <w:bookmarkEnd w:id="0"/>
      <w:r>
        <w:rPr>
          <w:rFonts w:hint="eastAsia" w:ascii="仿宋_GB2312" w:hAnsi="仿宋_GB2312" w:eastAsia="仿宋_GB2312" w:cs="仿宋_GB2312"/>
        </w:rPr>
        <w:t xml:space="preserve">局批复后执行。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 xml:space="preserve">（一）经实践证明，项目研究方向不可行、技术路线不合理，或项目无法实现任务书约定的进度且无改进办法的；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（二）完成项目任务所需的资金、原材料、人员、支撑条件等未落实或发生改变导致项目无法正常进行的；</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 xml:space="preserve">（三）在项目实施过程中出现严重违规违纪行为，不按规定进行整改或拒绝整改的；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（四）项目承担单位未按项目任务书约定的计划进度实施 项目，不接受项目监督检查，经催告后在规定期限内仍延迟实施的；</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（五）项目实施期结束6个月后无故不提交验收申请的；</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（六）组织管理不力或者发生重大问题导致项目无法进行 的。</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第十</w:t>
      </w:r>
      <w:r>
        <w:rPr>
          <w:rFonts w:hint="eastAsia" w:ascii="仿宋_GB2312" w:hAnsi="仿宋_GB2312" w:eastAsia="仿宋_GB2312" w:cs="仿宋_GB2312"/>
          <w:lang w:eastAsia="zh-CN"/>
        </w:rPr>
        <w:t>九</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对因故终止实施或撤销的项目，会同区财政局核定项目结余资金并提出处理意见，配合财政部门按规定收回结余资金。</w:t>
      </w:r>
    </w:p>
    <w:p>
      <w:pPr>
        <w:spacing w:line="560" w:lineRule="exact"/>
        <w:ind w:firstLine="640" w:firstLineChars="200"/>
        <w:rPr>
          <w:rFonts w:hint="eastAsia" w:ascii="仿宋_GB2312" w:hAnsi="仿宋_GB2312" w:eastAsia="仿宋_GB2312" w:cs="仿宋_GB2312"/>
        </w:rPr>
      </w:pPr>
    </w:p>
    <w:p>
      <w:pPr>
        <w:spacing w:line="560" w:lineRule="exact"/>
        <w:ind w:firstLine="640" w:firstLineChars="200"/>
        <w:jc w:val="center"/>
        <w:rPr>
          <w:rFonts w:hint="eastAsia" w:ascii="仿宋_GB2312" w:hAnsi="仿宋_GB2312" w:eastAsia="仿宋_GB2312" w:cs="仿宋_GB2312"/>
        </w:rPr>
      </w:pPr>
      <w:r>
        <w:rPr>
          <w:rFonts w:hint="eastAsia" w:ascii="黑体" w:hAnsi="黑体" w:eastAsia="黑体" w:cs="黑体"/>
        </w:rPr>
        <w:t>第五章  验收管理</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w:t>
      </w:r>
      <w:r>
        <w:rPr>
          <w:rFonts w:hint="eastAsia" w:ascii="仿宋_GB2312" w:hAnsi="仿宋_GB2312" w:eastAsia="仿宋_GB2312" w:cs="仿宋_GB2312"/>
          <w:lang w:eastAsia="zh-CN"/>
        </w:rPr>
        <w:t>二</w:t>
      </w:r>
      <w:r>
        <w:rPr>
          <w:rFonts w:hint="eastAsia" w:ascii="仿宋_GB2312" w:hAnsi="仿宋_GB2312" w:eastAsia="仿宋_GB2312" w:cs="仿宋_GB2312"/>
        </w:rPr>
        <w:t>十条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项目实施期结束，对任务书签订的目标任务、考核指标、资金使用等情况实行一次性综合评估验收或绩效评价的方式组织验收。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第二十</w:t>
      </w:r>
      <w:r>
        <w:rPr>
          <w:rFonts w:hint="eastAsia" w:ascii="仿宋_GB2312" w:hAnsi="仿宋_GB2312" w:eastAsia="仿宋_GB2312" w:cs="仿宋_GB2312"/>
          <w:lang w:eastAsia="zh-CN"/>
        </w:rPr>
        <w:t>一</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项目承担单位应在项目执行期满后3个月内提出验收申请，验收工作须在收到验收申请6个月内完成。在项目实施期已全面完成任务书所规定各项指标的，可申请提前验收，提前时间一般不超过6个月。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第二十</w:t>
      </w:r>
      <w:r>
        <w:rPr>
          <w:rFonts w:hint="eastAsia" w:ascii="仿宋_GB2312" w:hAnsi="仿宋_GB2312" w:eastAsia="仿宋_GB2312" w:cs="仿宋_GB2312"/>
          <w:lang w:eastAsia="zh-CN"/>
        </w:rPr>
        <w:t>二</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项目验收以项目任务书为基本依据，可采取会议评估、现场核查</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专家评审</w:t>
      </w:r>
      <w:r>
        <w:rPr>
          <w:rFonts w:hint="eastAsia" w:ascii="仿宋_GB2312" w:hAnsi="仿宋_GB2312" w:eastAsia="仿宋_GB2312" w:cs="仿宋_GB2312"/>
        </w:rPr>
        <w:t xml:space="preserve">等方式。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第二十</w:t>
      </w:r>
      <w:r>
        <w:rPr>
          <w:rFonts w:hint="eastAsia" w:ascii="仿宋_GB2312" w:hAnsi="仿宋_GB2312" w:eastAsia="仿宋_GB2312" w:cs="仿宋_GB2312"/>
          <w:lang w:eastAsia="zh-CN"/>
        </w:rPr>
        <w:t>三</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项目验收结论包括通过、不通过、结题。</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 xml:space="preserve"> （一）完成项目任务书规定的目标和任务且经费使用符合规定的，结论为通过。</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 xml:space="preserve"> （二）凡具有下列情况之一的，结论为不通过：</w:t>
      </w:r>
    </w:p>
    <w:p>
      <w:pPr>
        <w:spacing w:line="560" w:lineRule="exact"/>
        <w:ind w:firstLine="64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 1</w:t>
      </w:r>
      <w:r>
        <w:rPr>
          <w:rFonts w:hint="eastAsia" w:ascii="仿宋_GB2312" w:hAnsi="仿宋_GB2312" w:eastAsia="仿宋_GB2312" w:cs="仿宋_GB2312"/>
          <w:highlight w:val="none"/>
          <w:lang w:val="en-US" w:eastAsia="zh-CN"/>
        </w:rPr>
        <w:t>.</w:t>
      </w:r>
      <w:r>
        <w:rPr>
          <w:rFonts w:hint="eastAsia" w:ascii="仿宋_GB2312" w:hAnsi="仿宋_GB2312" w:eastAsia="仿宋_GB2312" w:cs="仿宋_GB2312"/>
          <w:highlight w:val="none"/>
        </w:rPr>
        <w:t>主要目标和任务未完成；</w:t>
      </w:r>
    </w:p>
    <w:p>
      <w:pPr>
        <w:spacing w:line="560" w:lineRule="exact"/>
        <w:ind w:firstLine="64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 2</w:t>
      </w:r>
      <w:r>
        <w:rPr>
          <w:rFonts w:hint="eastAsia" w:ascii="仿宋_GB2312" w:hAnsi="仿宋_GB2312" w:eastAsia="仿宋_GB2312" w:cs="仿宋_GB2312"/>
          <w:highlight w:val="none"/>
          <w:lang w:val="en-US" w:eastAsia="zh-CN"/>
        </w:rPr>
        <w:t>.</w:t>
      </w:r>
      <w:r>
        <w:rPr>
          <w:rFonts w:hint="eastAsia" w:ascii="仿宋_GB2312" w:hAnsi="仿宋_GB2312" w:eastAsia="仿宋_GB2312" w:cs="仿宋_GB2312"/>
          <w:highlight w:val="none"/>
        </w:rPr>
        <w:t>所提供的文件、资料数据不真实，存在弄虚作假情况；</w:t>
      </w:r>
    </w:p>
    <w:p>
      <w:pPr>
        <w:spacing w:line="560" w:lineRule="exact"/>
        <w:ind w:firstLine="800" w:firstLineChars="250"/>
        <w:rPr>
          <w:rFonts w:hint="eastAsia" w:ascii="仿宋_GB2312" w:hAnsi="仿宋_GB2312" w:eastAsia="仿宋_GB2312" w:cs="仿宋_GB2312"/>
        </w:rPr>
      </w:pPr>
      <w:r>
        <w:rPr>
          <w:rFonts w:hint="eastAsia" w:ascii="仿宋_GB2312" w:hAnsi="仿宋_GB2312" w:eastAsia="仿宋_GB2312" w:cs="仿宋_GB2312"/>
          <w:highlight w:val="none"/>
        </w:rPr>
        <w:t>3</w:t>
      </w:r>
      <w:r>
        <w:rPr>
          <w:rFonts w:hint="eastAsia" w:ascii="仿宋_GB2312" w:hAnsi="仿宋_GB2312" w:eastAsia="仿宋_GB2312" w:cs="仿宋_GB2312"/>
          <w:highlight w:val="none"/>
          <w:lang w:val="en-US" w:eastAsia="zh-CN"/>
        </w:rPr>
        <w:t>.</w:t>
      </w:r>
      <w:r>
        <w:rPr>
          <w:rFonts w:hint="eastAsia" w:ascii="仿宋_GB2312" w:hAnsi="仿宋_GB2312" w:eastAsia="仿宋_GB2312" w:cs="仿宋_GB2312"/>
        </w:rPr>
        <w:t>未按期按要求提交材料，不配合监督检查，未按相关要</w:t>
      </w:r>
    </w:p>
    <w:p>
      <w:pPr>
        <w:spacing w:line="560" w:lineRule="exact"/>
        <w:rPr>
          <w:rFonts w:hint="eastAsia" w:ascii="仿宋_GB2312" w:hAnsi="仿宋_GB2312" w:eastAsia="仿宋_GB2312" w:cs="仿宋_GB2312"/>
        </w:rPr>
      </w:pPr>
      <w:r>
        <w:rPr>
          <w:rFonts w:hint="eastAsia" w:ascii="仿宋_GB2312" w:hAnsi="仿宋_GB2312" w:eastAsia="仿宋_GB2312" w:cs="仿宋_GB2312"/>
        </w:rPr>
        <w:t xml:space="preserve">求报批重大事项；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4</w:t>
      </w:r>
      <w:r>
        <w:rPr>
          <w:rFonts w:hint="eastAsia" w:ascii="仿宋_GB2312" w:hAnsi="仿宋_GB2312" w:eastAsia="仿宋_GB2312" w:cs="仿宋_GB2312"/>
          <w:lang w:val="en-US" w:eastAsia="zh-CN"/>
        </w:rPr>
        <w:t>.</w:t>
      </w:r>
      <w:r>
        <w:rPr>
          <w:rFonts w:hint="eastAsia" w:ascii="仿宋_GB2312" w:hAnsi="仿宋_GB2312" w:eastAsia="仿宋_GB2312" w:cs="仿宋_GB2312"/>
        </w:rPr>
        <w:t xml:space="preserve">财政专项经费使用存在严重问题；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lang w:val="en-US" w:eastAsia="zh-CN"/>
        </w:rPr>
        <w:t>.</w:t>
      </w:r>
      <w:r>
        <w:rPr>
          <w:rFonts w:hint="eastAsia" w:ascii="仿宋_GB2312" w:hAnsi="仿宋_GB2312" w:eastAsia="仿宋_GB2312" w:cs="仿宋_GB2312"/>
        </w:rPr>
        <w:t xml:space="preserve">自筹经费不到位。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 xml:space="preserve">（三）因不可抗拒因素未完成项目任务书确定的主要目标 和任务的，按照结题处理，其结余经费应予收回。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 xml:space="preserve">（四）因提供文件资料不详、难以判断等导致验收意见争议较大，或研究过程及结果等存在纠纷尚未解决的项目，可暂缓通过验收。项目承担单位应在60天内完成整改并重新申请验收。暂缓验收最多1次，验收期限自暂缓之日顺延6个月，如再次验收仍未通过的，按照不通过处理。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第二十</w:t>
      </w:r>
      <w:r>
        <w:rPr>
          <w:rFonts w:hint="eastAsia" w:ascii="仿宋_GB2312" w:hAnsi="仿宋_GB2312" w:eastAsia="仿宋_GB2312" w:cs="仿宋_GB2312"/>
          <w:lang w:eastAsia="zh-CN"/>
        </w:rPr>
        <w:t>四</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项目验收结论为通过的，其结余资金按规定留归项目承担单位使用，统筹用于科研活动的直接支出。结题、不通过的，结余资金按相关规定收回。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第二十</w:t>
      </w:r>
      <w:r>
        <w:rPr>
          <w:rFonts w:hint="eastAsia" w:ascii="仿宋_GB2312" w:hAnsi="仿宋_GB2312" w:eastAsia="仿宋_GB2312" w:cs="仿宋_GB2312"/>
          <w:lang w:eastAsia="zh-CN"/>
        </w:rPr>
        <w:t>五</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项目形成的知识产权应当积极应用和推广，促 进技术交易和成果转化。</w:t>
      </w:r>
    </w:p>
    <w:p>
      <w:pPr>
        <w:spacing w:line="560" w:lineRule="exact"/>
        <w:ind w:firstLine="640" w:firstLineChars="200"/>
        <w:rPr>
          <w:rFonts w:hint="eastAsia" w:ascii="仿宋_GB2312" w:hAnsi="仿宋_GB2312" w:eastAsia="仿宋_GB2312" w:cs="仿宋_GB2312"/>
        </w:rPr>
      </w:pPr>
    </w:p>
    <w:p>
      <w:pPr>
        <w:spacing w:line="560" w:lineRule="exact"/>
        <w:ind w:firstLine="640" w:firstLineChars="200"/>
        <w:jc w:val="center"/>
        <w:rPr>
          <w:rFonts w:hint="eastAsia" w:ascii="仿宋_GB2312" w:hAnsi="仿宋_GB2312" w:eastAsia="仿宋_GB2312" w:cs="仿宋_GB2312"/>
        </w:rPr>
      </w:pPr>
      <w:r>
        <w:rPr>
          <w:rFonts w:hint="eastAsia" w:ascii="黑体" w:hAnsi="黑体" w:eastAsia="黑体" w:cs="黑体"/>
        </w:rPr>
        <w:t>第六章  监督管理</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第二十</w:t>
      </w:r>
      <w:r>
        <w:rPr>
          <w:rFonts w:hint="eastAsia" w:ascii="仿宋_GB2312" w:hAnsi="仿宋_GB2312" w:eastAsia="仿宋_GB2312" w:cs="仿宋_GB2312"/>
          <w:lang w:eastAsia="zh-CN"/>
        </w:rPr>
        <w:t>六</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实行信息公开制度。运用官方网站等渠道， 实现项目指南发布、立项等管理环节公开或公示，接受社会监督。</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第二十</w:t>
      </w:r>
      <w:r>
        <w:rPr>
          <w:rFonts w:hint="eastAsia" w:ascii="仿宋_GB2312" w:hAnsi="仿宋_GB2312" w:eastAsia="仿宋_GB2312" w:cs="仿宋_GB2312"/>
          <w:lang w:eastAsia="zh-CN"/>
        </w:rPr>
        <w:t>七</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实施期3年以下的项目，原则上不开展过程检查。科技重点专项计划项目和实施期3年及以上的项目原则上全部纳入监督检查范围，主要采用随机抽取的方式进行检查，除特殊情况外，项目实施期内只监督检查 1 次，避免重复检查、多头检查。 </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第二十</w:t>
      </w:r>
      <w:r>
        <w:rPr>
          <w:rFonts w:hint="eastAsia" w:ascii="仿宋_GB2312" w:hAnsi="仿宋_GB2312" w:eastAsia="仿宋_GB2312" w:cs="仿宋_GB2312"/>
          <w:lang w:eastAsia="zh-CN"/>
        </w:rPr>
        <w:t>八</w:t>
      </w:r>
      <w:r>
        <w:rPr>
          <w:rFonts w:hint="eastAsia" w:ascii="仿宋_GB2312" w:hAnsi="仿宋_GB2312" w:eastAsia="仿宋_GB2312" w:cs="仿宋_GB2312"/>
        </w:rPr>
        <w:t>条</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建立创新容错机制。鼓励科研人员大胆实践、 勇于创新，允许试错、宽容失败。对因不可抗因素未实现预期目标或失败的项目，经专家评议确有重大探索价值且项目承担人员已尽到勤勉尽责义务的，可继续支持其开展研究。对在项目实施过程中因先行先试、无意过失导致的偏差失误，科研人员已尽到勤勉尽责义务的，不作负面评价，免除相关责任。</w:t>
      </w:r>
    </w:p>
    <w:p>
      <w:pPr>
        <w:spacing w:line="560" w:lineRule="exact"/>
        <w:ind w:firstLine="640" w:firstLineChars="200"/>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第二十九条  规范科研诚信管理。对项目管理全过程进行科研诚信记录，将严重失信责任主体记入“黑名单”，阶段性或永久取消其申请财政资助项目或参与项目评审、项目管理的资格，并与其他有关部门共享信用评价信息。涉嫌违法违纪的，移送司法机关处理。</w:t>
      </w:r>
    </w:p>
    <w:p>
      <w:pPr>
        <w:spacing w:line="560" w:lineRule="exact"/>
        <w:ind w:firstLine="640" w:firstLineChars="200"/>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对项目承担单位、科研人员、评审咨询专家等责任主体应签署科研诚信承诺书，对于存在严重失信行为（黑名单）的责任主体实施“一票否决”。</w:t>
      </w:r>
    </w:p>
    <w:p>
      <w:pPr>
        <w:spacing w:line="560" w:lineRule="exact"/>
        <w:jc w:val="center"/>
        <w:rPr>
          <w:rFonts w:hint="eastAsia" w:ascii="仿宋_GB2312" w:hAnsi="仿宋_GB2312" w:eastAsia="仿宋_GB2312" w:cs="仿宋_GB2312"/>
        </w:rPr>
      </w:pPr>
      <w:r>
        <w:rPr>
          <w:rFonts w:hint="eastAsia" w:ascii="黑体" w:hAnsi="黑体" w:eastAsia="黑体" w:cs="黑体"/>
        </w:rPr>
        <w:t>第七章  附则</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w:t>
      </w:r>
      <w:r>
        <w:rPr>
          <w:rFonts w:hint="eastAsia" w:ascii="仿宋_GB2312" w:hAnsi="仿宋_GB2312" w:eastAsia="仿宋_GB2312" w:cs="仿宋_GB2312"/>
          <w:lang w:eastAsia="zh-CN"/>
        </w:rPr>
        <w:t>三</w:t>
      </w:r>
      <w:r>
        <w:rPr>
          <w:rFonts w:hint="eastAsia" w:ascii="仿宋_GB2312" w:hAnsi="仿宋_GB2312" w:eastAsia="仿宋_GB2312" w:cs="仿宋_GB2312"/>
        </w:rPr>
        <w:t xml:space="preserve">十条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w:t>
      </w:r>
      <w:r>
        <w:rPr>
          <w:rFonts w:hint="eastAsia" w:ascii="仿宋_GB2312" w:hAnsi="仿宋_GB2312" w:eastAsia="仿宋_GB2312" w:cs="仿宋_GB2312"/>
          <w:lang w:eastAsia="zh-CN"/>
        </w:rPr>
        <w:t>规程</w:t>
      </w:r>
      <w:r>
        <w:rPr>
          <w:rFonts w:hint="eastAsia" w:ascii="仿宋_GB2312" w:hAnsi="仿宋_GB2312" w:eastAsia="仿宋_GB2312" w:cs="仿宋_GB2312"/>
        </w:rPr>
        <w:t>由扎赉诺尔区工信和科技局解释。</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第</w:t>
      </w:r>
      <w:r>
        <w:rPr>
          <w:rFonts w:hint="eastAsia" w:ascii="仿宋_GB2312" w:hAnsi="仿宋_GB2312" w:eastAsia="仿宋_GB2312" w:cs="仿宋_GB2312"/>
          <w:lang w:val="en-US" w:eastAsia="zh-CN"/>
        </w:rPr>
        <w:t>三十一</w:t>
      </w:r>
      <w:r>
        <w:rPr>
          <w:rFonts w:hint="eastAsia" w:ascii="仿宋_GB2312" w:hAnsi="仿宋_GB2312" w:eastAsia="仿宋_GB2312" w:cs="仿宋_GB2312"/>
        </w:rPr>
        <w:t xml:space="preserve">条 </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w:t>
      </w:r>
      <w:r>
        <w:rPr>
          <w:rFonts w:hint="eastAsia" w:ascii="仿宋_GB2312" w:hAnsi="仿宋_GB2312" w:eastAsia="仿宋_GB2312" w:cs="仿宋_GB2312"/>
          <w:lang w:eastAsia="zh-CN"/>
        </w:rPr>
        <w:t>规程</w:t>
      </w:r>
      <w:r>
        <w:rPr>
          <w:rFonts w:hint="eastAsia" w:ascii="仿宋_GB2312" w:hAnsi="仿宋_GB2312" w:eastAsia="仿宋_GB2312" w:cs="仿宋_GB2312"/>
        </w:rPr>
        <w:t>自发布之日起执行。</w:t>
      </w:r>
    </w:p>
    <w:sectPr>
      <w:footerReference r:id="rId3" w:type="default"/>
      <w:pgSz w:w="11906" w:h="16838"/>
      <w:pgMar w:top="2098" w:right="1531" w:bottom="1984" w:left="1531" w:header="851" w:footer="992" w:gutter="0"/>
      <w:pgNumType w:fmt="numberInDash" w:start="2"/>
      <w:cols w:space="720" w:num="1"/>
      <w:docGrid w:type="lines" w:linePitch="46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方正仿宋简体">
    <w:altName w:val="方正仿宋_GBK"/>
    <w:panose1 w:val="02010601030101010101"/>
    <w:charset w:val="86"/>
    <w:family w:val="roma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Microsoft JhengHei">
    <w:altName w:val="方正书宋_GBK"/>
    <w:panose1 w:val="020B0604030504040204"/>
    <w:charset w:val="88"/>
    <w:family w:val="swiss"/>
    <w:pitch w:val="default"/>
    <w:sig w:usb0="00000000" w:usb1="00000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- 7 -</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">
              <v:fill on="f" focussize="0,0"/>
              <v:stroke on="f"/>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- 7 -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60"/>
  <w:drawingGridVerticalSpacing w:val="465"/>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hOTNhNzBiZjRlZDM3Y2VmYzQ4ZDI4YjI2YmQ2MjMifQ=="/>
  </w:docVars>
  <w:rsids>
    <w:rsidRoot w:val="00172A27"/>
    <w:rsid w:val="00000C4F"/>
    <w:rsid w:val="000400A9"/>
    <w:rsid w:val="000C1683"/>
    <w:rsid w:val="00122F8F"/>
    <w:rsid w:val="001D6DE0"/>
    <w:rsid w:val="00261986"/>
    <w:rsid w:val="002B5014"/>
    <w:rsid w:val="002C192D"/>
    <w:rsid w:val="00325A3C"/>
    <w:rsid w:val="00356640"/>
    <w:rsid w:val="003625AC"/>
    <w:rsid w:val="00371249"/>
    <w:rsid w:val="003A2A14"/>
    <w:rsid w:val="004056B1"/>
    <w:rsid w:val="00435DD6"/>
    <w:rsid w:val="00453710"/>
    <w:rsid w:val="004B12A9"/>
    <w:rsid w:val="004E5E73"/>
    <w:rsid w:val="004F1936"/>
    <w:rsid w:val="00534F14"/>
    <w:rsid w:val="00572003"/>
    <w:rsid w:val="00582887"/>
    <w:rsid w:val="005D49AB"/>
    <w:rsid w:val="0060215E"/>
    <w:rsid w:val="00610310"/>
    <w:rsid w:val="00735C8B"/>
    <w:rsid w:val="00753E0E"/>
    <w:rsid w:val="00862CC3"/>
    <w:rsid w:val="00960C6C"/>
    <w:rsid w:val="009C3080"/>
    <w:rsid w:val="00A35099"/>
    <w:rsid w:val="00BA0CC4"/>
    <w:rsid w:val="00BB49A3"/>
    <w:rsid w:val="00C16E12"/>
    <w:rsid w:val="00C93CB8"/>
    <w:rsid w:val="00CD06F4"/>
    <w:rsid w:val="00DE5E43"/>
    <w:rsid w:val="00E41F02"/>
    <w:rsid w:val="00F14F70"/>
    <w:rsid w:val="00FB1705"/>
    <w:rsid w:val="00FB428D"/>
    <w:rsid w:val="03B97E74"/>
    <w:rsid w:val="058C54BD"/>
    <w:rsid w:val="060D2627"/>
    <w:rsid w:val="06C40F9B"/>
    <w:rsid w:val="078556F2"/>
    <w:rsid w:val="0F4F1E9D"/>
    <w:rsid w:val="113849FC"/>
    <w:rsid w:val="126B798C"/>
    <w:rsid w:val="146F50E3"/>
    <w:rsid w:val="1958190A"/>
    <w:rsid w:val="196F10EF"/>
    <w:rsid w:val="1A7015C1"/>
    <w:rsid w:val="244B0A92"/>
    <w:rsid w:val="24E16ABB"/>
    <w:rsid w:val="27733DB9"/>
    <w:rsid w:val="2B444466"/>
    <w:rsid w:val="2B5E7E39"/>
    <w:rsid w:val="2EBA8823"/>
    <w:rsid w:val="3036278F"/>
    <w:rsid w:val="3D934113"/>
    <w:rsid w:val="3E4C453C"/>
    <w:rsid w:val="3F636838"/>
    <w:rsid w:val="45556B54"/>
    <w:rsid w:val="479B56FB"/>
    <w:rsid w:val="49A34401"/>
    <w:rsid w:val="4EBC17D3"/>
    <w:rsid w:val="50316363"/>
    <w:rsid w:val="565B63B4"/>
    <w:rsid w:val="59FE5154"/>
    <w:rsid w:val="5B4D29AB"/>
    <w:rsid w:val="5E9B0A4B"/>
    <w:rsid w:val="5F0D47C7"/>
    <w:rsid w:val="5FC609F2"/>
    <w:rsid w:val="60A54AAB"/>
    <w:rsid w:val="6273539E"/>
    <w:rsid w:val="6D2A4EE3"/>
    <w:rsid w:val="71624E28"/>
    <w:rsid w:val="77E707D1"/>
    <w:rsid w:val="CEFFA5A1"/>
    <w:rsid w:val="FAEFA9B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Times New Roman"/>
      <w:kern w:val="2"/>
      <w:sz w:val="32"/>
      <w:szCs w:val="24"/>
      <w:lang w:val="en-US" w:eastAsia="zh-CN" w:bidi="ar-SA"/>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link w:val="7"/>
    <w:qFormat/>
    <w:uiPriority w:val="1"/>
    <w:pPr>
      <w:autoSpaceDE w:val="0"/>
      <w:autoSpaceDN w:val="0"/>
      <w:ind w:left="111"/>
      <w:jc w:val="left"/>
    </w:pPr>
    <w:rPr>
      <w:rFonts w:ascii="宋体" w:hAnsi="宋体" w:eastAsia="宋体" w:cs="宋体"/>
      <w:kern w:val="0"/>
      <w:szCs w:val="32"/>
      <w:lang w:eastAsia="en-US"/>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正文文本 Char"/>
    <w:basedOn w:val="6"/>
    <w:link w:val="2"/>
    <w:qFormat/>
    <w:uiPriority w:val="1"/>
    <w:rPr>
      <w:rFonts w:ascii="宋体" w:hAnsi="宋体" w:cs="宋体"/>
      <w:sz w:val="32"/>
      <w:szCs w:val="3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kjj</Company>
  <Pages>8</Pages>
  <Words>3556</Words>
  <Characters>3563</Characters>
  <Lines>24</Lines>
  <Paragraphs>6</Paragraphs>
  <TotalTime>56</TotalTime>
  <ScaleCrop>false</ScaleCrop>
  <LinksUpToDate>false</LinksUpToDate>
  <CharactersWithSpaces>3670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2015-05-15T08:34:00Z</dcterms:created>
  <dc:creator>yhb</dc:creator>
  <cp:lastModifiedBy>gxj</cp:lastModifiedBy>
  <cp:lastPrinted>2023-08-16T23:26:00Z</cp:lastPrinted>
  <dcterms:modified xsi:type="dcterms:W3CDTF">2025-03-18T10:19:47Z</dcterms:modified>
  <dc:title>内蒙古自治区科技计划项目管理暂行办法</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4856AFD7C6F59F15006BE464EDF33F8B</vt:lpwstr>
  </property>
</Properties>
</file>