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7071F5">
      <w:pPr>
        <w:spacing w:line="294" w:lineRule="auto"/>
        <w:rPr>
          <w:rFonts w:ascii="Arial"/>
          <w:sz w:val="21"/>
        </w:rPr>
      </w:pPr>
    </w:p>
    <w:p w14:paraId="74FB605A">
      <w:pPr>
        <w:spacing w:line="295" w:lineRule="auto"/>
        <w:rPr>
          <w:rFonts w:ascii="Arial"/>
          <w:sz w:val="21"/>
        </w:rPr>
      </w:pPr>
    </w:p>
    <w:p w14:paraId="0BE57AC5">
      <w:pPr>
        <w:keepNext w:val="0"/>
        <w:keepLines w:val="0"/>
        <w:pageBreakBefore w:val="0"/>
        <w:wordWrap/>
        <w:overflowPunct/>
        <w:topLinePunct w:val="0"/>
        <w:bidi w:val="0"/>
        <w:spacing w:line="560" w:lineRule="exact"/>
        <w:ind w:left="0" w:right="0" w:firstLine="0"/>
        <w:jc w:val="center"/>
        <w:outlineLvl w:val="0"/>
        <w:rPr>
          <w:rFonts w:ascii="Arial"/>
          <w:sz w:val="21"/>
        </w:rPr>
      </w:pPr>
      <w:r>
        <w:rPr>
          <w:rFonts w:ascii="宋体" w:hAnsi="宋体" w:eastAsia="宋体" w:cs="宋体"/>
          <w:b/>
          <w:bCs/>
          <w:spacing w:val="5"/>
          <w:sz w:val="43"/>
          <w:szCs w:val="43"/>
        </w:rPr>
        <w:t>关于</w:t>
      </w:r>
      <w:r>
        <w:rPr>
          <w:rFonts w:hint="eastAsia" w:ascii="宋体" w:hAnsi="宋体" w:eastAsia="宋体" w:cs="宋体"/>
          <w:b/>
          <w:bCs/>
          <w:spacing w:val="5"/>
          <w:sz w:val="43"/>
          <w:szCs w:val="43"/>
          <w:lang w:val="en-US" w:eastAsia="zh-CN"/>
        </w:rPr>
        <w:t>《呼伦贝尔市扎赉诺尔区公共租赁住房管理实施细则》</w:t>
      </w:r>
      <w:r>
        <w:rPr>
          <w:rFonts w:ascii="宋体" w:hAnsi="宋体" w:eastAsia="宋体" w:cs="宋体"/>
          <w:b/>
          <w:bCs/>
          <w:spacing w:val="5"/>
          <w:sz w:val="43"/>
          <w:szCs w:val="43"/>
        </w:rPr>
        <w:t>的起草说明</w:t>
      </w:r>
    </w:p>
    <w:p w14:paraId="28D30031">
      <w:pPr>
        <w:keepNext w:val="0"/>
        <w:keepLines w:val="0"/>
        <w:pageBreakBefore w:val="0"/>
        <w:wordWrap/>
        <w:overflowPunct/>
        <w:topLinePunct w:val="0"/>
        <w:bidi w:val="0"/>
        <w:spacing w:line="560" w:lineRule="exact"/>
        <w:rPr>
          <w:rFonts w:ascii="Arial"/>
          <w:sz w:val="21"/>
        </w:rPr>
      </w:pPr>
    </w:p>
    <w:p w14:paraId="604BFFA0">
      <w:pPr>
        <w:keepNext w:val="0"/>
        <w:keepLines w:val="0"/>
        <w:pageBreakBefore w:val="0"/>
        <w:wordWrap/>
        <w:overflowPunct/>
        <w:topLinePunct w:val="0"/>
        <w:bidi w:val="0"/>
        <w:spacing w:line="560" w:lineRule="exact"/>
        <w:ind w:left="0" w:right="0" w:firstLine="0"/>
        <w:jc w:val="center"/>
        <w:rPr>
          <w:rFonts w:hint="eastAsia" w:ascii="CESI仿宋-GB2312" w:hAnsi="CESI仿宋-GB2312" w:eastAsia="CESI仿宋-GB2312" w:cs="CESI仿宋-GB2312"/>
          <w:b/>
          <w:bCs/>
          <w:color w:val="333333"/>
          <w:spacing w:val="2"/>
          <w:sz w:val="32"/>
          <w:szCs w:val="32"/>
          <w:lang w:eastAsia="zh-CN"/>
        </w:rPr>
      </w:pPr>
      <w:r>
        <w:rPr>
          <w:rFonts w:hint="eastAsia" w:ascii="CESI仿宋-GB2312" w:hAnsi="CESI仿宋-GB2312" w:eastAsia="CESI仿宋-GB2312" w:cs="CESI仿宋-GB2312"/>
          <w:b/>
          <w:bCs/>
          <w:color w:val="333333"/>
          <w:spacing w:val="2"/>
          <w:sz w:val="32"/>
          <w:szCs w:val="32"/>
        </w:rPr>
        <w:t>区</w:t>
      </w:r>
      <w:r>
        <w:rPr>
          <w:rFonts w:hint="eastAsia" w:ascii="CESI仿宋-GB2312" w:hAnsi="CESI仿宋-GB2312" w:eastAsia="CESI仿宋-GB2312" w:cs="CESI仿宋-GB2312"/>
          <w:b/>
          <w:bCs/>
          <w:color w:val="333333"/>
          <w:spacing w:val="2"/>
          <w:sz w:val="32"/>
          <w:szCs w:val="32"/>
          <w:lang w:eastAsia="zh-CN"/>
        </w:rPr>
        <w:t>住房建设和交通运输局</w:t>
      </w:r>
    </w:p>
    <w:p w14:paraId="55536A5F">
      <w:pPr>
        <w:keepNext w:val="0"/>
        <w:keepLines w:val="0"/>
        <w:pageBreakBefore w:val="0"/>
        <w:wordWrap/>
        <w:overflowPunct/>
        <w:topLinePunct w:val="0"/>
        <w:bidi w:val="0"/>
        <w:spacing w:line="560" w:lineRule="exact"/>
        <w:ind w:left="0" w:right="0" w:firstLine="0"/>
        <w:jc w:val="center"/>
        <w:rPr>
          <w:rFonts w:hint="eastAsia" w:ascii="CESI仿宋-GB2312" w:hAnsi="CESI仿宋-GB2312" w:eastAsia="CESI仿宋-GB2312" w:cs="CESI仿宋-GB2312"/>
          <w:sz w:val="32"/>
          <w:szCs w:val="32"/>
        </w:rPr>
      </w:pPr>
      <w:r>
        <w:rPr>
          <w:rFonts w:hint="eastAsia" w:ascii="CESI仿宋-GB2312" w:hAnsi="CESI仿宋-GB2312" w:eastAsia="CESI仿宋-GB2312" w:cs="CESI仿宋-GB2312"/>
          <w:color w:val="333333"/>
          <w:spacing w:val="4"/>
          <w:sz w:val="32"/>
          <w:szCs w:val="32"/>
        </w:rPr>
        <w:t xml:space="preserve"> </w:t>
      </w:r>
      <w:r>
        <w:rPr>
          <w:rFonts w:hint="eastAsia" w:ascii="CESI仿宋-GB2312" w:hAnsi="CESI仿宋-GB2312" w:eastAsia="CESI仿宋-GB2312" w:cs="CESI仿宋-GB2312"/>
          <w:color w:val="333333"/>
          <w:spacing w:val="-5"/>
          <w:sz w:val="32"/>
          <w:szCs w:val="32"/>
        </w:rPr>
        <w:t>202</w:t>
      </w:r>
      <w:r>
        <w:rPr>
          <w:rFonts w:hint="eastAsia" w:ascii="CESI仿宋-GB2312" w:hAnsi="CESI仿宋-GB2312" w:eastAsia="CESI仿宋-GB2312" w:cs="CESI仿宋-GB2312"/>
          <w:color w:val="333333"/>
          <w:spacing w:val="-5"/>
          <w:sz w:val="32"/>
          <w:szCs w:val="32"/>
          <w:lang w:val="en-US" w:eastAsia="zh-CN"/>
        </w:rPr>
        <w:t>5</w:t>
      </w:r>
      <w:r>
        <w:rPr>
          <w:rFonts w:hint="eastAsia" w:ascii="CESI仿宋-GB2312" w:hAnsi="CESI仿宋-GB2312" w:eastAsia="CESI仿宋-GB2312" w:cs="CESI仿宋-GB2312"/>
          <w:color w:val="333333"/>
          <w:spacing w:val="-60"/>
          <w:sz w:val="32"/>
          <w:szCs w:val="32"/>
        </w:rPr>
        <w:t xml:space="preserve"> </w:t>
      </w:r>
      <w:r>
        <w:rPr>
          <w:rFonts w:hint="eastAsia" w:ascii="CESI仿宋-GB2312" w:hAnsi="CESI仿宋-GB2312" w:eastAsia="CESI仿宋-GB2312" w:cs="CESI仿宋-GB2312"/>
          <w:color w:val="333333"/>
          <w:spacing w:val="-5"/>
          <w:sz w:val="32"/>
          <w:szCs w:val="32"/>
        </w:rPr>
        <w:t>年</w:t>
      </w:r>
      <w:r>
        <w:rPr>
          <w:rFonts w:hint="eastAsia" w:ascii="CESI仿宋-GB2312" w:hAnsi="CESI仿宋-GB2312" w:eastAsia="CESI仿宋-GB2312" w:cs="CESI仿宋-GB2312"/>
          <w:color w:val="333333"/>
          <w:spacing w:val="-48"/>
          <w:sz w:val="32"/>
          <w:szCs w:val="32"/>
        </w:rPr>
        <w:t xml:space="preserve"> </w:t>
      </w:r>
      <w:r>
        <w:rPr>
          <w:rFonts w:hint="eastAsia" w:ascii="CESI仿宋-GB2312" w:hAnsi="CESI仿宋-GB2312" w:eastAsia="CESI仿宋-GB2312" w:cs="CESI仿宋-GB2312"/>
          <w:color w:val="333333"/>
          <w:spacing w:val="-48"/>
          <w:sz w:val="32"/>
          <w:szCs w:val="32"/>
          <w:lang w:val="en-US" w:eastAsia="zh-CN"/>
        </w:rPr>
        <w:t>2</w:t>
      </w:r>
      <w:r>
        <w:rPr>
          <w:rFonts w:hint="eastAsia" w:ascii="CESI仿宋-GB2312" w:hAnsi="CESI仿宋-GB2312" w:eastAsia="CESI仿宋-GB2312" w:cs="CESI仿宋-GB2312"/>
          <w:color w:val="333333"/>
          <w:spacing w:val="-5"/>
          <w:sz w:val="32"/>
          <w:szCs w:val="32"/>
        </w:rPr>
        <w:t>月</w:t>
      </w:r>
    </w:p>
    <w:p w14:paraId="3BF92423">
      <w:pPr>
        <w:keepNext w:val="0"/>
        <w:keepLines w:val="0"/>
        <w:pageBreakBefore w:val="0"/>
        <w:wordWrap/>
        <w:overflowPunct/>
        <w:topLinePunct w:val="0"/>
        <w:bidi w:val="0"/>
        <w:spacing w:line="560" w:lineRule="exact"/>
        <w:rPr>
          <w:rFonts w:ascii="Arial"/>
          <w:sz w:val="21"/>
        </w:rPr>
      </w:pPr>
    </w:p>
    <w:p w14:paraId="6063A93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现将《呼伦贝尔市扎赉诺尔区公共租赁住房管理实施细则（审议稿）》（以下简称《细则》）起草情况说明如下。</w:t>
      </w:r>
    </w:p>
    <w:p w14:paraId="2BC4B58B">
      <w:pPr>
        <w:keepNext w:val="0"/>
        <w:keepLines w:val="0"/>
        <w:pageBreakBefore w:val="0"/>
        <w:wordWrap/>
        <w:overflowPunct/>
        <w:topLinePunct w:val="0"/>
        <w:bidi w:val="0"/>
        <w:spacing w:before="51" w:line="560" w:lineRule="exact"/>
        <w:ind w:left="653"/>
        <w:rPr>
          <w:rFonts w:ascii="黑体" w:hAnsi="黑体" w:eastAsia="黑体" w:cs="黑体"/>
          <w:sz w:val="32"/>
          <w:szCs w:val="32"/>
        </w:rPr>
      </w:pPr>
      <w:r>
        <w:rPr>
          <w:rFonts w:ascii="黑体" w:hAnsi="黑体" w:eastAsia="黑体" w:cs="黑体"/>
          <w:spacing w:val="8"/>
          <w:sz w:val="32"/>
          <w:szCs w:val="32"/>
        </w:rPr>
        <w:t>一、</w:t>
      </w:r>
      <w:r>
        <w:rPr>
          <w:rFonts w:ascii="黑体" w:hAnsi="黑体" w:eastAsia="黑体" w:cs="黑体"/>
          <w:color w:val="333333"/>
          <w:spacing w:val="8"/>
          <w:sz w:val="32"/>
          <w:szCs w:val="32"/>
        </w:rPr>
        <w:t>出台背景及起草过程</w:t>
      </w:r>
    </w:p>
    <w:p w14:paraId="4A67438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pPr>
      <w:r>
        <w:rPr>
          <w:rFonts w:hint="eastAsia" w:ascii="仿宋_GB2312" w:hAnsi="仿宋_GB2312" w:eastAsia="仿宋_GB2312" w:cs="仿宋_GB2312"/>
          <w:sz w:val="32"/>
          <w:szCs w:val="32"/>
          <w:lang w:val="en-US" w:eastAsia="zh-CN"/>
        </w:rPr>
        <w:t>2009年10月11日，扎赉诺尔区人民政府根据《内蒙古自治区廉租住房保障办法》《呼伦贝尔市廉租住房租售并举的指导意见（试行）》（呼政字</w:t>
      </w:r>
      <w:r>
        <w:rPr>
          <w:rFonts w:hint="eastAsia" w:ascii="CESI仿宋-GB2312" w:hAnsi="CESI仿宋-GB2312" w:eastAsia="CESI仿宋-GB2312" w:cs="CESI仿宋-GB2312"/>
          <w:sz w:val="32"/>
          <w:szCs w:val="32"/>
          <w:lang w:val="en-US" w:eastAsia="zh-CN"/>
        </w:rPr>
        <w:t>〔2009〕第44号</w:t>
      </w:r>
      <w:r>
        <w:rPr>
          <w:rFonts w:hint="eastAsia" w:ascii="仿宋_GB2312" w:hAnsi="仿宋_GB2312" w:eastAsia="仿宋_GB2312" w:cs="仿宋_GB2312"/>
          <w:sz w:val="32"/>
          <w:szCs w:val="32"/>
          <w:lang w:val="en-US" w:eastAsia="zh-CN"/>
        </w:rPr>
        <w:t>）《满洲里城镇廉租住房实物配租分配方案》（满政办字</w:t>
      </w:r>
      <w:r>
        <w:rPr>
          <w:rFonts w:hint="eastAsia" w:ascii="CESI仿宋-GB2312" w:hAnsi="CESI仿宋-GB2312" w:eastAsia="CESI仿宋-GB2312" w:cs="CESI仿宋-GB2312"/>
          <w:sz w:val="32"/>
          <w:szCs w:val="32"/>
          <w:lang w:val="en-US" w:eastAsia="zh-CN"/>
        </w:rPr>
        <w:t>〔2009〕第1号</w:t>
      </w:r>
      <w:r>
        <w:rPr>
          <w:rFonts w:hint="eastAsia" w:ascii="仿宋_GB2312" w:hAnsi="仿宋_GB2312" w:eastAsia="仿宋_GB2312" w:cs="仿宋_GB2312"/>
          <w:sz w:val="32"/>
          <w:szCs w:val="32"/>
          <w:lang w:val="en-US" w:eastAsia="zh-CN"/>
        </w:rPr>
        <w:t>）及相关规定印发了《扎赉诺尔区廉租住房租售并举实施细则》，指导我区廉租住房保障工作开展。该文件印发至今已有16年，且我区于2023年起逐步理顺管理体制，原《细则》已不在符合我区住房保障工作实际。为加强我区公共租赁住房管理，规范运营与使用，完善我区住房保障体系，区住房建设和交通运输局依据《公共租赁住房管理办法》《内蒙古自治区人民政府关于进一步加强保障性住房建设和分配管理的通知》《呼伦贝尔市公共租赁住房和廉租住房并轨运行管理实施意见》制定《呼伦贝尔市扎赉诺尔区公共租赁住房管理实施细则》《细则》形成后，区住房建设和交通运输局广泛征求了相关部门和社会群众意见，并按照区发改委和、区残联等部门提出的反馈意见结合我区实际及时进行调整，形成《呼伦贝尔市扎赉诺尔区公共租赁住房管理实施细则（</w:t>
      </w:r>
      <w:r>
        <w:rPr>
          <w:rFonts w:hint="eastAsia" w:ascii="仿宋_GB2312" w:hAnsi="仿宋_GB2312" w:eastAsia="仿宋_GB2312" w:cs="仿宋_GB2312"/>
          <w:color w:val="FF0000"/>
          <w:sz w:val="32"/>
          <w:szCs w:val="32"/>
          <w:lang w:val="en-US" w:eastAsia="zh-CN"/>
        </w:rPr>
        <w:t>审议稿</w:t>
      </w:r>
      <w:r>
        <w:rPr>
          <w:rFonts w:hint="eastAsia" w:ascii="仿宋_GB2312" w:hAnsi="仿宋_GB2312" w:eastAsia="仿宋_GB2312" w:cs="仿宋_GB2312"/>
          <w:sz w:val="32"/>
          <w:szCs w:val="32"/>
          <w:lang w:val="en-US" w:eastAsia="zh-CN"/>
        </w:rPr>
        <w:t>）》。</w:t>
      </w:r>
    </w:p>
    <w:p w14:paraId="7A72241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二、起草遵循的原则</w:t>
      </w:r>
    </w:p>
    <w:p w14:paraId="6DBFCE42">
      <w:pPr>
        <w:keepNext w:val="0"/>
        <w:keepLines w:val="0"/>
        <w:pageBreakBefore w:val="0"/>
        <w:widowControl/>
        <w:kinsoku w:val="0"/>
        <w:wordWrap/>
        <w:overflowPunct/>
        <w:topLinePunct w:val="0"/>
        <w:autoSpaceDE w:val="0"/>
        <w:autoSpaceDN w:val="0"/>
        <w:bidi w:val="0"/>
        <w:adjustRightInd w:val="0"/>
        <w:snapToGrid w:val="0"/>
        <w:spacing w:before="53"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《细则》的起草过程中，重点把握以下原则：</w:t>
      </w:r>
      <w:r>
        <w:rPr>
          <w:rFonts w:hint="eastAsia" w:ascii="仿宋_GB2312" w:hAnsi="仿宋_GB2312" w:eastAsia="仿宋_GB2312" w:cs="仿宋_GB2312"/>
          <w:b/>
          <w:bCs/>
          <w:sz w:val="32"/>
          <w:szCs w:val="32"/>
          <w:lang w:val="en-US" w:eastAsia="zh-CN"/>
        </w:rPr>
        <w:t>一是</w:t>
      </w:r>
      <w:r>
        <w:rPr>
          <w:rFonts w:hint="eastAsia" w:ascii="仿宋_GB2312" w:hAnsi="仿宋_GB2312" w:eastAsia="仿宋_GB2312" w:cs="仿宋_GB2312"/>
          <w:sz w:val="32"/>
          <w:szCs w:val="32"/>
          <w:lang w:val="en-US" w:eastAsia="zh-CN"/>
        </w:rPr>
        <w:t>以习近平新时代中国特色社会主义思想为指导，全面贯彻党的二十大精神和“人民至上”的发展思想，</w:t>
      </w:r>
      <w:r>
        <w:rPr>
          <w:rFonts w:hint="eastAsia" w:ascii="仿宋_GB2312" w:hAnsi="仿宋_GB2312" w:eastAsia="仿宋_GB2312" w:cs="仿宋_GB2312"/>
          <w:color w:val="auto"/>
          <w:sz w:val="32"/>
          <w:szCs w:val="32"/>
        </w:rPr>
        <w:t>着力加强</w:t>
      </w:r>
      <w:r>
        <w:rPr>
          <w:rFonts w:hint="eastAsia" w:ascii="仿宋_GB2312" w:hAnsi="仿宋_GB2312" w:eastAsia="仿宋_GB2312" w:cs="仿宋_GB2312"/>
          <w:color w:val="auto"/>
          <w:sz w:val="32"/>
          <w:szCs w:val="32"/>
          <w:lang w:eastAsia="zh-CN"/>
        </w:rPr>
        <w:t>我区公共租赁住房保障</w:t>
      </w:r>
      <w:r>
        <w:rPr>
          <w:rFonts w:hint="eastAsia" w:ascii="仿宋_GB2312" w:hAnsi="仿宋_GB2312" w:eastAsia="仿宋_GB2312" w:cs="仿宋_GB2312"/>
          <w:color w:val="auto"/>
          <w:sz w:val="32"/>
          <w:szCs w:val="32"/>
        </w:rPr>
        <w:t>制度建设，规范</w:t>
      </w:r>
      <w:r>
        <w:rPr>
          <w:rFonts w:hint="eastAsia" w:ascii="CESI仿宋-GB2312" w:hAnsi="CESI仿宋-GB2312" w:eastAsia="CESI仿宋-GB2312" w:cs="CESI仿宋-GB2312"/>
          <w:i w:val="0"/>
          <w:iCs w:val="0"/>
          <w:caps w:val="0"/>
          <w:color w:val="000000"/>
          <w:spacing w:val="0"/>
          <w:sz w:val="32"/>
          <w:szCs w:val="32"/>
          <w:shd w:val="clear" w:color="auto" w:fill="FFFFFF"/>
        </w:rPr>
        <w:t>公共租赁住房的规划与建设、申请与审核、分配、租赁、使用与退出等监督管理工作</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确保《细则》的起草遵循正确方向。二是《细则》的起草，严格按照</w:t>
      </w:r>
      <w:r>
        <w:rPr>
          <w:rFonts w:hint="eastAsia" w:ascii="仿宋_GB2312" w:hAnsi="仿宋_GB2312" w:eastAsia="仿宋_GB2312" w:cs="仿宋_GB2312"/>
          <w:sz w:val="32"/>
          <w:szCs w:val="32"/>
          <w:lang w:val="en-US" w:eastAsia="zh-CN"/>
        </w:rPr>
        <w:t>《公共租赁住房管理办法》《内蒙古自治区人民政府关于进一步加强保障性住房建设和分配管理的通知》《呼伦贝尔市公共租赁住房和廉租住房并轨运行管理实施意见》相关规定并结合我区实际，进一步明确公共租赁住房保障范围和各部门工作职责，确保《细则》符合我区实际情况。</w:t>
      </w:r>
    </w:p>
    <w:p w14:paraId="2A816C2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三、基本框架和主要内容</w:t>
      </w:r>
    </w:p>
    <w:p w14:paraId="46059263">
      <w:pPr>
        <w:keepNext w:val="0"/>
        <w:keepLines w:val="0"/>
        <w:pageBreakBefore w:val="0"/>
        <w:widowControl/>
        <w:kinsoku w:val="0"/>
        <w:wordWrap/>
        <w:overflowPunct/>
        <w:topLinePunct w:val="0"/>
        <w:autoSpaceDE w:val="0"/>
        <w:autoSpaceDN w:val="0"/>
        <w:bidi w:val="0"/>
        <w:adjustRightInd w:val="0"/>
        <w:snapToGrid w:val="0"/>
        <w:spacing w:before="50" w:line="560" w:lineRule="exact"/>
        <w:ind w:firstLine="643" w:firstLineChars="200"/>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《办法》共分9章45条：第1章</w:t>
      </w:r>
      <w:r>
        <w:rPr>
          <w:rFonts w:hint="eastAsia" w:ascii="仿宋_GB2312" w:hAnsi="仿宋_GB2312" w:eastAsia="仿宋_GB2312" w:cs="仿宋_GB2312"/>
          <w:sz w:val="32"/>
          <w:szCs w:val="32"/>
          <w:lang w:val="en-US" w:eastAsia="zh-CN"/>
        </w:rPr>
        <w:t>为总则。</w:t>
      </w:r>
      <w:r>
        <w:rPr>
          <w:rFonts w:hint="eastAsia" w:ascii="仿宋_GB2312" w:hAnsi="仿宋_GB2312" w:eastAsia="仿宋_GB2312" w:cs="仿宋_GB2312"/>
          <w:b/>
          <w:bCs/>
          <w:sz w:val="32"/>
          <w:szCs w:val="32"/>
          <w:lang w:val="en-US" w:eastAsia="zh-CN"/>
        </w:rPr>
        <w:t>第2章</w:t>
      </w:r>
      <w:r>
        <w:rPr>
          <w:rFonts w:hint="eastAsia" w:ascii="仿宋_GB2312" w:hAnsi="仿宋_GB2312" w:eastAsia="仿宋_GB2312" w:cs="仿宋_GB2312"/>
          <w:sz w:val="32"/>
          <w:szCs w:val="32"/>
          <w:lang w:val="en-US" w:eastAsia="zh-CN"/>
        </w:rPr>
        <w:t>为保障条件及资格认定。</w:t>
      </w:r>
      <w:r>
        <w:rPr>
          <w:rFonts w:hint="eastAsia" w:ascii="仿宋_GB2312" w:hAnsi="仿宋_GB2312" w:eastAsia="仿宋_GB2312" w:cs="仿宋_GB2312"/>
          <w:b/>
          <w:bCs/>
          <w:sz w:val="32"/>
          <w:szCs w:val="32"/>
          <w:lang w:val="en-US" w:eastAsia="zh-CN"/>
        </w:rPr>
        <w:t>第3章</w:t>
      </w:r>
      <w:r>
        <w:rPr>
          <w:rFonts w:hint="eastAsia" w:ascii="仿宋_GB2312" w:hAnsi="仿宋_GB2312" w:eastAsia="仿宋_GB2312" w:cs="仿宋_GB2312"/>
          <w:sz w:val="32"/>
          <w:szCs w:val="32"/>
          <w:lang w:val="en-US" w:eastAsia="zh-CN"/>
        </w:rPr>
        <w:t>为申请与审核，明确</w:t>
      </w:r>
      <w:r>
        <w:rPr>
          <w:rFonts w:hint="eastAsia" w:ascii="CESI仿宋-GB2312" w:hAnsi="CESI仿宋-GB2312" w:eastAsia="CESI仿宋-GB2312" w:cs="CESI仿宋-GB2312"/>
          <w:i w:val="0"/>
          <w:iCs w:val="0"/>
          <w:caps w:val="0"/>
          <w:color w:val="000000"/>
          <w:spacing w:val="0"/>
          <w:sz w:val="32"/>
          <w:szCs w:val="32"/>
          <w:highlight w:val="none"/>
          <w:shd w:val="clear" w:color="auto" w:fill="FFFFFF"/>
          <w:lang w:val="en-US" w:eastAsia="zh-CN"/>
        </w:rPr>
        <w:t>廉租住房和公共租赁住房统称为公共租赁住房</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b/>
          <w:bCs/>
          <w:sz w:val="32"/>
          <w:szCs w:val="32"/>
          <w:lang w:val="en-US" w:eastAsia="zh-CN"/>
        </w:rPr>
        <w:t>第4章</w:t>
      </w:r>
      <w:r>
        <w:rPr>
          <w:rFonts w:hint="eastAsia" w:ascii="仿宋_GB2312" w:hAnsi="仿宋_GB2312" w:eastAsia="仿宋_GB2312" w:cs="仿宋_GB2312"/>
          <w:sz w:val="32"/>
          <w:szCs w:val="32"/>
          <w:lang w:val="en-US" w:eastAsia="zh-CN"/>
        </w:rPr>
        <w:t>为轮候与分配。</w:t>
      </w:r>
      <w:r>
        <w:rPr>
          <w:rFonts w:hint="eastAsia" w:ascii="仿宋_GB2312" w:hAnsi="仿宋_GB2312" w:eastAsia="仿宋_GB2312" w:cs="仿宋_GB2312"/>
          <w:b/>
          <w:bCs/>
          <w:sz w:val="32"/>
          <w:szCs w:val="32"/>
          <w:lang w:val="en-US" w:eastAsia="zh-CN"/>
        </w:rPr>
        <w:t>第5章</w:t>
      </w:r>
      <w:r>
        <w:rPr>
          <w:rFonts w:hint="eastAsia" w:ascii="仿宋_GB2312" w:hAnsi="仿宋_GB2312" w:eastAsia="仿宋_GB2312" w:cs="仿宋_GB2312"/>
          <w:b w:val="0"/>
          <w:bCs w:val="0"/>
          <w:sz w:val="32"/>
          <w:szCs w:val="32"/>
          <w:lang w:val="en-US" w:eastAsia="zh-CN"/>
        </w:rPr>
        <w:t>为房屋租金。</w:t>
      </w:r>
      <w:r>
        <w:rPr>
          <w:rFonts w:hint="eastAsia" w:ascii="仿宋_GB2312" w:hAnsi="仿宋_GB2312" w:eastAsia="仿宋_GB2312" w:cs="仿宋_GB2312"/>
          <w:b/>
          <w:bCs/>
          <w:sz w:val="32"/>
          <w:szCs w:val="32"/>
          <w:lang w:val="en-US" w:eastAsia="zh-CN"/>
        </w:rPr>
        <w:t>第6章</w:t>
      </w:r>
      <w:r>
        <w:rPr>
          <w:rFonts w:hint="eastAsia" w:ascii="仿宋_GB2312" w:hAnsi="仿宋_GB2312" w:eastAsia="仿宋_GB2312" w:cs="仿宋_GB2312"/>
          <w:b w:val="0"/>
          <w:bCs w:val="0"/>
          <w:sz w:val="32"/>
          <w:szCs w:val="32"/>
          <w:lang w:val="en-US" w:eastAsia="zh-CN"/>
        </w:rPr>
        <w:t>为租赁补贴。</w:t>
      </w:r>
      <w:r>
        <w:rPr>
          <w:rFonts w:hint="eastAsia" w:ascii="仿宋_GB2312" w:hAnsi="仿宋_GB2312" w:eastAsia="仿宋_GB2312" w:cs="仿宋_GB2312"/>
          <w:b/>
          <w:bCs/>
          <w:sz w:val="32"/>
          <w:szCs w:val="32"/>
          <w:lang w:val="en-US" w:eastAsia="zh-CN"/>
        </w:rPr>
        <w:t>第7章</w:t>
      </w:r>
      <w:r>
        <w:rPr>
          <w:rFonts w:hint="eastAsia" w:ascii="仿宋_GB2312" w:hAnsi="仿宋_GB2312" w:eastAsia="仿宋_GB2312" w:cs="仿宋_GB2312"/>
          <w:b w:val="0"/>
          <w:bCs w:val="0"/>
          <w:sz w:val="32"/>
          <w:szCs w:val="32"/>
          <w:lang w:val="en-US" w:eastAsia="zh-CN"/>
        </w:rPr>
        <w:t>为使用与退出，</w:t>
      </w:r>
      <w:r>
        <w:rPr>
          <w:rFonts w:hint="eastAsia" w:ascii="仿宋_GB2312" w:hAnsi="仿宋_GB2312" w:eastAsia="仿宋_GB2312" w:cs="仿宋_GB2312"/>
          <w:b/>
          <w:bCs/>
          <w:sz w:val="32"/>
          <w:szCs w:val="32"/>
          <w:lang w:val="en-US" w:eastAsia="zh-CN"/>
        </w:rPr>
        <w:t>第8章</w:t>
      </w:r>
      <w:r>
        <w:rPr>
          <w:rFonts w:hint="eastAsia" w:ascii="仿宋_GB2312" w:hAnsi="仿宋_GB2312" w:eastAsia="仿宋_GB2312" w:cs="仿宋_GB2312"/>
          <w:b w:val="0"/>
          <w:bCs w:val="0"/>
          <w:sz w:val="32"/>
          <w:szCs w:val="32"/>
          <w:lang w:val="en-US" w:eastAsia="zh-CN"/>
        </w:rPr>
        <w:t>为监督与责任，明确住房保障部门的工作职责，</w:t>
      </w:r>
      <w:r>
        <w:rPr>
          <w:rFonts w:hint="eastAsia" w:ascii="仿宋_GB2312" w:hAnsi="仿宋_GB2312" w:eastAsia="仿宋_GB2312" w:cs="仿宋_GB2312"/>
          <w:b/>
          <w:bCs/>
          <w:sz w:val="32"/>
          <w:szCs w:val="32"/>
          <w:lang w:val="en-US" w:eastAsia="zh-CN"/>
        </w:rPr>
        <w:t>第9章</w:t>
      </w:r>
      <w:r>
        <w:rPr>
          <w:rFonts w:hint="eastAsia" w:ascii="仿宋_GB2312" w:hAnsi="仿宋_GB2312" w:eastAsia="仿宋_GB2312" w:cs="仿宋_GB2312"/>
          <w:b w:val="0"/>
          <w:bCs w:val="0"/>
          <w:sz w:val="32"/>
          <w:szCs w:val="32"/>
          <w:lang w:val="en-US" w:eastAsia="zh-CN"/>
        </w:rPr>
        <w:t>为附则。</w:t>
      </w:r>
    </w:p>
    <w:p w14:paraId="5468C2A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eastAsia="仿宋_GB2312"/>
          <w:kern w:val="0"/>
          <w:sz w:val="32"/>
          <w:szCs w:val="32"/>
        </w:rPr>
        <w:t>以上是对《</w:t>
      </w:r>
      <w:r>
        <w:rPr>
          <w:rFonts w:hint="eastAsia" w:ascii="仿宋_GB2312" w:hAnsi="仿宋_GB2312" w:eastAsia="仿宋_GB2312" w:cs="仿宋_GB2312"/>
          <w:sz w:val="32"/>
          <w:szCs w:val="32"/>
          <w:lang w:val="en-US" w:eastAsia="zh-CN"/>
        </w:rPr>
        <w:t>呼伦贝尔市扎赉诺尔区公共租赁住房管理实施细则（</w:t>
      </w:r>
      <w:r>
        <w:rPr>
          <w:rFonts w:hint="eastAsia" w:ascii="仿宋_GB2312" w:hAnsi="仿宋_GB2312" w:eastAsia="仿宋_GB2312" w:cs="仿宋_GB2312"/>
          <w:color w:val="FF0000"/>
          <w:sz w:val="32"/>
          <w:szCs w:val="32"/>
          <w:lang w:val="en-US" w:eastAsia="zh-CN"/>
        </w:rPr>
        <w:t>审议稿</w:t>
      </w:r>
      <w:r>
        <w:rPr>
          <w:rFonts w:hint="eastAsia" w:ascii="仿宋_GB2312" w:hAnsi="仿宋_GB2312" w:eastAsia="仿宋_GB2312" w:cs="仿宋_GB2312"/>
          <w:sz w:val="32"/>
          <w:szCs w:val="32"/>
          <w:lang w:val="en-US" w:eastAsia="zh-CN"/>
        </w:rPr>
        <w:t>）</w:t>
      </w:r>
      <w:r>
        <w:rPr>
          <w:rFonts w:hint="eastAsia" w:ascii="仿宋_GB2312" w:eastAsia="仿宋_GB2312"/>
          <w:kern w:val="0"/>
          <w:sz w:val="32"/>
          <w:szCs w:val="32"/>
        </w:rPr>
        <w:t>》</w:t>
      </w:r>
      <w:r>
        <w:rPr>
          <w:rFonts w:hint="eastAsia" w:ascii="仿宋_GB2312" w:eastAsia="仿宋_GB2312"/>
          <w:kern w:val="0"/>
          <w:sz w:val="32"/>
          <w:szCs w:val="32"/>
          <w:lang w:eastAsia="zh-CN"/>
        </w:rPr>
        <w:t>起草情况</w:t>
      </w:r>
      <w:r>
        <w:rPr>
          <w:rFonts w:hint="eastAsia" w:ascii="仿宋_GB2312" w:eastAsia="仿宋_GB2312"/>
          <w:kern w:val="0"/>
          <w:sz w:val="32"/>
          <w:szCs w:val="32"/>
        </w:rPr>
        <w:t>的简要说明。</w:t>
      </w:r>
      <w:bookmarkStart w:id="0" w:name="_GoBack"/>
      <w:bookmarkEnd w:id="0"/>
    </w:p>
    <w:p w14:paraId="550521BF">
      <w:pPr>
        <w:pStyle w:val="2"/>
        <w:spacing w:before="179" w:line="319" w:lineRule="auto"/>
        <w:ind w:left="3" w:firstLine="655"/>
      </w:pPr>
    </w:p>
    <w:sectPr>
      <w:footerReference r:id="rId5" w:type="default"/>
      <w:pgSz w:w="11906" w:h="16839"/>
      <w:pgMar w:top="1431" w:right="1475" w:bottom="1305" w:left="1593" w:header="0" w:footer="104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FangSong">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 w:name="仿宋_GB2312">
    <w:altName w:val="方正仿宋_GBK"/>
    <w:panose1 w:val="02010609030101010101"/>
    <w:charset w:val="86"/>
    <w:family w:val="auto"/>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D6835">
    <w:pPr>
      <w:spacing w:line="188" w:lineRule="auto"/>
      <w:ind w:left="4407"/>
      <w:rPr>
        <w:rFonts w:ascii="Arial" w:hAnsi="Arial" w:eastAsia="Arial" w:cs="Arial"/>
        <w:sz w:val="28"/>
        <w:szCs w:val="28"/>
      </w:rPr>
    </w:pPr>
    <w:r>
      <w:rPr>
        <w:rFonts w:ascii="Arial" w:hAnsi="Arial" w:eastAsia="Arial" w:cs="Arial"/>
        <w:spacing w:val="27"/>
        <w:sz w:val="28"/>
        <w:szCs w:val="28"/>
      </w:rPr>
      <w:t>-</w:t>
    </w:r>
    <w:r>
      <w:rPr>
        <w:rFonts w:ascii="Arial" w:hAnsi="Arial" w:eastAsia="Arial" w:cs="Arial"/>
        <w:spacing w:val="2"/>
        <w:sz w:val="28"/>
        <w:szCs w:val="28"/>
      </w:rPr>
      <w:t xml:space="preserve"> </w:t>
    </w:r>
    <w:r>
      <w:rPr>
        <w:rFonts w:ascii="Arial" w:hAnsi="Arial" w:eastAsia="Arial" w:cs="Arial"/>
        <w:spacing w:val="27"/>
        <w:sz w:val="28"/>
        <w:szCs w:val="28"/>
      </w:rPr>
      <w:t>3</w:t>
    </w:r>
    <w:r>
      <w:rPr>
        <w:rFonts w:ascii="Arial" w:hAnsi="Arial" w:eastAsia="Arial" w:cs="Arial"/>
        <w:spacing w:val="-1"/>
        <w:sz w:val="28"/>
        <w:szCs w:val="28"/>
      </w:rPr>
      <w:t xml:space="preserve"> </w:t>
    </w:r>
    <w:r>
      <w:rPr>
        <w:rFonts w:ascii="Arial" w:hAnsi="Arial" w:eastAsia="Arial" w:cs="Arial"/>
        <w:spacing w:val="27"/>
        <w:sz w:val="28"/>
        <w:szCs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WU4ODA3N2M0NDAwM2E2MGQ0NTY4MjY2MTQ0ZTAyMTIifQ=="/>
  </w:docVars>
  <w:rsids>
    <w:rsidRoot w:val="00000000"/>
    <w:rsid w:val="570D571F"/>
    <w:rsid w:val="7A31A71C"/>
    <w:rsid w:val="FE782BE3"/>
    <w:rsid w:val="FEFF382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 w:hAnsi="FangSong" w:eastAsia="FangSong" w:cs="FangSong"/>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TotalTime>2</TotalTime>
  <ScaleCrop>false</ScaleCrop>
  <LinksUpToDate>false</LinksUpToDate>
  <Application>WPS Office_12.8.2.1115_F1E327BC-269C-435d-A152-05C5408002CA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2025-02-13T18:18:00Z</dcterms:created>
  <dc:creator>Administrator</dc:creator>
  <cp:lastModifiedBy>thtf</cp:lastModifiedBy>
  <dcterms:modified xsi:type="dcterms:W3CDTF">2025-02-12T16:26:57Z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2025-02-12T11:40:48Z</vt:filetime>
  </property>
  <property fmtid="{D5CDD505-2E9C-101B-9397-08002B2CF9AE}" pid="4" name="KSOProductBuildVer">
    <vt:lpwstr>2052-12.8.2.1115</vt:lpwstr>
  </property>
  <property fmtid="{D5CDD505-2E9C-101B-9397-08002B2CF9AE}" pid="5" name="ICV">
    <vt:lpwstr>8D302E4C5CED5A2B324EAC6745B98E70_42</vt:lpwstr>
  </property>
</Properties>
</file>