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i w:val="0"/>
          <w:iCs w:val="0"/>
          <w:caps w:val="0"/>
          <w:spacing w:val="15"/>
          <w:sz w:val="44"/>
          <w:szCs w:val="44"/>
          <w:shd w:val="clear" w:color="auto" w:fill="FFFFFF"/>
          <w:lang w:val="en-US" w:eastAsia="zh-CN"/>
        </w:rPr>
      </w:pPr>
      <w:r>
        <w:rPr>
          <w:rFonts w:hint="eastAsia" w:ascii="方正小标宋简体" w:hAnsi="方正小标宋简体" w:eastAsia="方正小标宋简体" w:cs="方正小标宋简体"/>
          <w:i w:val="0"/>
          <w:iCs w:val="0"/>
          <w:caps w:val="0"/>
          <w:spacing w:val="15"/>
          <w:sz w:val="44"/>
          <w:szCs w:val="44"/>
          <w:shd w:val="clear" w:color="auto" w:fill="FFFFFF"/>
          <w:lang w:val="en-US" w:eastAsia="zh-CN"/>
        </w:rPr>
        <w:t>呼伦贝尔市扎赉诺尔区促进商贸行业</w:t>
      </w: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i w:val="0"/>
          <w:iCs w:val="0"/>
          <w:caps w:val="0"/>
          <w:spacing w:val="15"/>
          <w:sz w:val="44"/>
          <w:szCs w:val="44"/>
          <w:shd w:val="clear" w:color="auto" w:fill="FFFFFF"/>
          <w:lang w:val="en-US" w:eastAsia="zh-CN"/>
        </w:rPr>
      </w:pPr>
      <w:r>
        <w:rPr>
          <w:rFonts w:hint="eastAsia" w:ascii="方正小标宋简体" w:hAnsi="方正小标宋简体" w:eastAsia="方正小标宋简体" w:cs="方正小标宋简体"/>
          <w:i w:val="0"/>
          <w:iCs w:val="0"/>
          <w:caps w:val="0"/>
          <w:spacing w:val="15"/>
          <w:sz w:val="44"/>
          <w:szCs w:val="44"/>
          <w:shd w:val="clear" w:color="auto" w:fill="FFFFFF"/>
          <w:lang w:val="en-US" w:eastAsia="zh-CN"/>
        </w:rPr>
        <w:t>升规纳统奖励办法</w:t>
      </w: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（征求意见稿）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bookmarkStart w:id="0" w:name="_GoBack"/>
      <w:bookmarkEnd w:id="0"/>
      <w:r>
        <w:rPr>
          <w:rFonts w:hint="default" w:ascii="仿宋_GB2312" w:hAnsi="仿宋_GB2312" w:eastAsia="仿宋_GB2312" w:cs="仿宋_GB2312"/>
          <w:sz w:val="32"/>
          <w:szCs w:val="32"/>
          <w:lang w:val="en-US" w:eastAsia="zh-CN"/>
        </w:rPr>
        <w:t>为深入贯彻落实中央、自治区、呼伦贝尔市关于促进商贸消费提质扩容的有关要求，通过政策鼓励、支持、引导、进一步培育壮大我区限额以上商贸流通</w:t>
      </w:r>
      <w:r>
        <w:rPr>
          <w:rFonts w:hint="eastAsia" w:ascii="仿宋_GB2312" w:hAnsi="仿宋_GB2312" w:cs="仿宋_GB2312"/>
          <w:sz w:val="32"/>
          <w:szCs w:val="32"/>
          <w:lang w:val="en-US" w:eastAsia="zh-CN"/>
        </w:rPr>
        <w:t>单位</w:t>
      </w:r>
      <w:r>
        <w:rPr>
          <w:rFonts w:hint="default" w:ascii="仿宋_GB2312" w:hAnsi="仿宋_GB2312" w:eastAsia="仿宋_GB2312" w:cs="仿宋_GB2312"/>
          <w:sz w:val="32"/>
          <w:szCs w:val="32"/>
          <w:lang w:val="en-US" w:eastAsia="zh-CN"/>
        </w:rPr>
        <w:t>群体，激发小微企业发展动力，推动小微企业快速发展，确保达限</w:t>
      </w:r>
      <w:r>
        <w:rPr>
          <w:rFonts w:hint="eastAsia" w:ascii="仿宋_GB2312" w:hAnsi="仿宋_GB2312" w:cs="仿宋_GB2312"/>
          <w:sz w:val="32"/>
          <w:szCs w:val="32"/>
          <w:lang w:val="en-US" w:eastAsia="zh-CN"/>
        </w:rPr>
        <w:t>单位</w:t>
      </w:r>
      <w:r>
        <w:rPr>
          <w:rFonts w:hint="default" w:ascii="仿宋_GB2312" w:hAnsi="仿宋_GB2312" w:eastAsia="仿宋_GB2312" w:cs="仿宋_GB2312"/>
          <w:sz w:val="32"/>
          <w:szCs w:val="32"/>
          <w:lang w:val="en-US" w:eastAsia="zh-CN"/>
        </w:rPr>
        <w:t>及时入库，促进全区经济持续平稳健康发展。现结合我区经济发展实际，制定本办法</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default" w:ascii="黑体" w:hAnsi="黑体" w:eastAsia="黑体" w:cs="黑体"/>
          <w:sz w:val="32"/>
          <w:szCs w:val="32"/>
          <w:lang w:val="en-US" w:eastAsia="zh-CN"/>
        </w:rPr>
        <w:t>一</w:t>
      </w:r>
      <w:r>
        <w:rPr>
          <w:rFonts w:hint="eastAsia" w:ascii="黑体" w:hAnsi="黑体" w:eastAsia="黑体" w:cs="黑体"/>
          <w:sz w:val="32"/>
          <w:szCs w:val="32"/>
          <w:lang w:val="en-US" w:eastAsia="zh-CN"/>
        </w:rPr>
        <w:t>、奖励对象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符合国家产业政策及统计制度，在</w:t>
      </w:r>
      <w:r>
        <w:rPr>
          <w:rFonts w:hint="eastAsia" w:ascii="仿宋_GB2312" w:hAnsi="仿宋_GB2312" w:cs="仿宋_GB2312"/>
          <w:sz w:val="32"/>
          <w:szCs w:val="32"/>
          <w:lang w:val="en-US" w:eastAsia="zh-CN"/>
        </w:rPr>
        <w:t>扎赉诺尔区</w:t>
      </w:r>
      <w:r>
        <w:rPr>
          <w:rFonts w:hint="eastAsia" w:ascii="仿宋_GB2312" w:hAnsi="仿宋_GB2312" w:eastAsia="仿宋_GB2312" w:cs="仿宋_GB2312"/>
          <w:sz w:val="32"/>
          <w:szCs w:val="32"/>
          <w:lang w:val="en-US" w:eastAsia="zh-CN"/>
        </w:rPr>
        <w:t>工商注册登记、依法经营、按章纳税的</w:t>
      </w:r>
      <w:r>
        <w:rPr>
          <w:rFonts w:hint="eastAsia" w:ascii="仿宋_GB2312" w:hAnsi="仿宋_GB2312" w:cs="仿宋_GB2312"/>
          <w:sz w:val="32"/>
          <w:szCs w:val="32"/>
          <w:lang w:val="en-US" w:eastAsia="zh-CN"/>
        </w:rPr>
        <w:t>限额以上批零住餐单位</w:t>
      </w:r>
      <w:r>
        <w:rPr>
          <w:rFonts w:hint="default" w:ascii="仿宋_GB2312" w:hAnsi="仿宋_GB2312" w:eastAsia="仿宋_GB2312" w:cs="仿宋_GB2312"/>
          <w:sz w:val="32"/>
          <w:szCs w:val="32"/>
          <w:lang w:val="en-US" w:eastAsia="zh-CN"/>
        </w:rPr>
        <w:t>（含个体工商户，下同）；限额以下批零住餐样本抽样单位；扩限样本监测单位</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按照国家批发和零售业、住宿和餐饮业统计报表制度规定，商贸企业达限标准具体为：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1.批发业：年主营业务收入2000万元以上（包括2000万元，下同）；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2.零售业：年主营业务收入500万元以上；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3.住宿业：年主营业务收入200万元以上；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4.餐饮业：年主营业务收入200万元以上。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default" w:ascii="黑体" w:hAnsi="黑体" w:eastAsia="黑体" w:cs="黑体"/>
          <w:sz w:val="32"/>
          <w:szCs w:val="32"/>
          <w:lang w:val="en-US" w:eastAsia="zh-CN"/>
        </w:rPr>
        <w:t>二</w:t>
      </w:r>
      <w:r>
        <w:rPr>
          <w:rFonts w:hint="eastAsia" w:ascii="黑体" w:hAnsi="黑体" w:eastAsia="黑体" w:cs="黑体"/>
          <w:sz w:val="32"/>
          <w:szCs w:val="32"/>
          <w:lang w:val="en-US" w:eastAsia="zh-CN"/>
        </w:rPr>
        <w:t>、</w:t>
      </w:r>
      <w:r>
        <w:rPr>
          <w:rFonts w:hint="default" w:ascii="黑体" w:hAnsi="黑体" w:eastAsia="黑体" w:cs="黑体"/>
          <w:sz w:val="32"/>
          <w:szCs w:val="32"/>
          <w:lang w:val="en-US" w:eastAsia="zh-CN"/>
        </w:rPr>
        <w:t>奖励</w:t>
      </w:r>
      <w:r>
        <w:rPr>
          <w:rFonts w:hint="eastAsia" w:ascii="黑体" w:hAnsi="黑体" w:eastAsia="黑体" w:cs="黑体"/>
          <w:sz w:val="32"/>
          <w:szCs w:val="32"/>
          <w:lang w:val="en-US" w:eastAsia="zh-CN"/>
        </w:rPr>
        <w:t>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（一）扶持优惠优先。</w:t>
      </w:r>
      <w:r>
        <w:rPr>
          <w:rFonts w:hint="eastAsia" w:ascii="仿宋_GB2312" w:hAnsi="仿宋_GB2312" w:eastAsia="仿宋_GB2312" w:cs="仿宋_GB2312"/>
          <w:sz w:val="32"/>
          <w:szCs w:val="32"/>
          <w:lang w:val="en-US" w:eastAsia="zh-CN"/>
        </w:rPr>
        <w:t>国家、</w:t>
      </w:r>
      <w:r>
        <w:rPr>
          <w:rFonts w:hint="eastAsia" w:ascii="仿宋_GB2312" w:hAnsi="仿宋_GB2312" w:cs="仿宋_GB2312"/>
          <w:sz w:val="32"/>
          <w:szCs w:val="32"/>
          <w:lang w:val="en-US" w:eastAsia="zh-CN"/>
        </w:rPr>
        <w:t>自治区</w:t>
      </w:r>
      <w:r>
        <w:rPr>
          <w:rFonts w:hint="eastAsia" w:ascii="仿宋_GB2312" w:hAnsi="仿宋_GB2312" w:eastAsia="仿宋_GB2312" w:cs="仿宋_GB2312"/>
          <w:sz w:val="32"/>
          <w:szCs w:val="32"/>
          <w:lang w:val="en-US" w:eastAsia="zh-CN"/>
        </w:rPr>
        <w:t>、市和</w:t>
      </w:r>
      <w:r>
        <w:rPr>
          <w:rFonts w:hint="eastAsia" w:ascii="仿宋_GB2312" w:hAnsi="仿宋_GB2312" w:cs="仿宋_GB2312"/>
          <w:sz w:val="32"/>
          <w:szCs w:val="32"/>
          <w:lang w:val="en-US" w:eastAsia="zh-CN"/>
        </w:rPr>
        <w:t>我区</w:t>
      </w:r>
      <w:r>
        <w:rPr>
          <w:rFonts w:hint="eastAsia" w:ascii="仿宋_GB2312" w:hAnsi="仿宋_GB2312" w:eastAsia="仿宋_GB2312" w:cs="仿宋_GB2312"/>
          <w:sz w:val="32"/>
          <w:szCs w:val="32"/>
          <w:lang w:val="en-US" w:eastAsia="zh-CN"/>
        </w:rPr>
        <w:t>支持</w:t>
      </w:r>
      <w:r>
        <w:rPr>
          <w:rFonts w:hint="eastAsia" w:ascii="仿宋_GB2312" w:hAnsi="仿宋_GB2312" w:cs="仿宋_GB2312"/>
          <w:sz w:val="32"/>
          <w:szCs w:val="32"/>
          <w:lang w:val="en-US" w:eastAsia="zh-CN"/>
        </w:rPr>
        <w:t>商贸行业</w:t>
      </w:r>
      <w:r>
        <w:rPr>
          <w:rFonts w:hint="eastAsia" w:ascii="仿宋_GB2312" w:hAnsi="仿宋_GB2312" w:eastAsia="仿宋_GB2312" w:cs="仿宋_GB2312"/>
          <w:sz w:val="32"/>
          <w:szCs w:val="32"/>
          <w:lang w:val="en-US" w:eastAsia="zh-CN"/>
        </w:rPr>
        <w:t>发展的</w:t>
      </w:r>
      <w:r>
        <w:rPr>
          <w:rFonts w:hint="default" w:ascii="仿宋_GB2312" w:hAnsi="仿宋_GB2312" w:eastAsia="仿宋_GB2312" w:cs="仿宋_GB2312"/>
          <w:sz w:val="32"/>
          <w:szCs w:val="32"/>
          <w:lang w:val="en-US" w:eastAsia="zh-CN"/>
        </w:rPr>
        <w:t>项目申报、资金扶持</w:t>
      </w:r>
      <w:r>
        <w:rPr>
          <w:rFonts w:hint="eastAsia" w:ascii="仿宋_GB2312" w:hAnsi="仿宋_GB2312" w:cs="仿宋_GB2312"/>
          <w:sz w:val="32"/>
          <w:szCs w:val="32"/>
          <w:lang w:val="en-US" w:eastAsia="zh-CN"/>
        </w:rPr>
        <w:t>、消费促进</w:t>
      </w:r>
      <w:r>
        <w:rPr>
          <w:rFonts w:hint="default" w:ascii="仿宋_GB2312" w:hAnsi="仿宋_GB2312" w:cs="仿宋_GB2312"/>
          <w:sz w:val="32"/>
          <w:szCs w:val="32"/>
          <w:lang w:val="en-US" w:eastAsia="zh-CN"/>
        </w:rPr>
        <w:t>、展会活动</w:t>
      </w:r>
      <w:r>
        <w:rPr>
          <w:rFonts w:hint="eastAsia" w:ascii="仿宋_GB2312" w:hAnsi="仿宋_GB2312" w:cs="仿宋_GB2312"/>
          <w:sz w:val="32"/>
          <w:szCs w:val="32"/>
          <w:lang w:val="en-US" w:eastAsia="zh-CN"/>
        </w:rPr>
        <w:t>、政府采购</w:t>
      </w:r>
      <w:r>
        <w:rPr>
          <w:rFonts w:hint="eastAsia" w:ascii="仿宋_GB2312" w:hAnsi="仿宋_GB2312" w:eastAsia="仿宋_GB2312" w:cs="仿宋_GB2312"/>
          <w:sz w:val="32"/>
          <w:szCs w:val="32"/>
          <w:lang w:val="en-US" w:eastAsia="zh-CN"/>
        </w:rPr>
        <w:t>等</w:t>
      </w:r>
      <w:r>
        <w:rPr>
          <w:rFonts w:hint="default" w:ascii="仿宋_GB2312" w:hAnsi="仿宋_GB2312" w:eastAsia="仿宋_GB2312" w:cs="仿宋_GB2312"/>
          <w:sz w:val="32"/>
          <w:szCs w:val="32"/>
          <w:lang w:val="en-US" w:eastAsia="zh-CN"/>
        </w:rPr>
        <w:t>方面</w:t>
      </w:r>
      <w:r>
        <w:rPr>
          <w:rFonts w:hint="eastAsia" w:ascii="仿宋_GB2312" w:hAnsi="仿宋_GB2312" w:eastAsia="仿宋_GB2312" w:cs="仿宋_GB2312"/>
          <w:sz w:val="32"/>
          <w:szCs w:val="32"/>
          <w:lang w:val="en-US" w:eastAsia="zh-CN"/>
        </w:rPr>
        <w:t>，原则上优先支持商贸</w:t>
      </w:r>
      <w:r>
        <w:rPr>
          <w:rFonts w:hint="eastAsia" w:ascii="仿宋_GB2312" w:hAnsi="仿宋_GB2312" w:cs="仿宋_GB2312"/>
          <w:sz w:val="32"/>
          <w:szCs w:val="32"/>
          <w:lang w:val="en-US" w:eastAsia="zh-CN"/>
        </w:rPr>
        <w:t>行业</w:t>
      </w:r>
      <w:r>
        <w:rPr>
          <w:rFonts w:hint="eastAsia" w:ascii="仿宋_GB2312" w:hAnsi="仿宋_GB2312" w:eastAsia="仿宋_GB2312" w:cs="仿宋_GB2312"/>
          <w:sz w:val="32"/>
          <w:szCs w:val="32"/>
          <w:lang w:val="en-US" w:eastAsia="zh-CN"/>
        </w:rPr>
        <w:t>限额以上</w:t>
      </w:r>
      <w:r>
        <w:rPr>
          <w:rFonts w:hint="eastAsia" w:ascii="仿宋_GB2312" w:hAnsi="仿宋_GB2312" w:cs="仿宋_GB2312"/>
          <w:sz w:val="32"/>
          <w:szCs w:val="32"/>
          <w:lang w:val="en-US" w:eastAsia="zh-CN"/>
        </w:rPr>
        <w:t>单位</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（二）实行</w:t>
      </w:r>
      <w:r>
        <w:rPr>
          <w:rFonts w:hint="default" w:ascii="楷体_GB2312" w:hAnsi="楷体_GB2312" w:eastAsia="楷体_GB2312" w:cs="楷体_GB2312"/>
          <w:sz w:val="32"/>
          <w:szCs w:val="32"/>
          <w:lang w:val="en-US" w:eastAsia="zh-CN"/>
        </w:rPr>
        <w:t>资金奖励</w:t>
      </w:r>
      <w:r>
        <w:rPr>
          <w:rFonts w:hint="eastAsia" w:ascii="楷体_GB2312" w:hAnsi="楷体_GB2312" w:eastAsia="楷体_GB2312" w:cs="楷体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cs="仿宋_GB2312"/>
          <w:sz w:val="32"/>
          <w:szCs w:val="32"/>
          <w:lang w:val="en-US" w:eastAsia="zh-CN"/>
        </w:rPr>
        <w:t>1</w:t>
      </w:r>
      <w:r>
        <w:rPr>
          <w:rFonts w:hint="eastAsia" w:ascii="仿宋_GB2312" w:hAnsi="仿宋_GB2312" w:eastAsia="仿宋_GB2312" w:cs="仿宋_GB2312"/>
          <w:sz w:val="32"/>
          <w:szCs w:val="32"/>
          <w:lang w:val="en-US" w:eastAsia="zh-CN"/>
        </w:rPr>
        <w:t>.支持</w:t>
      </w:r>
      <w:r>
        <w:rPr>
          <w:rFonts w:hint="eastAsia" w:ascii="仿宋_GB2312" w:hAnsi="仿宋_GB2312" w:cs="仿宋_GB2312"/>
          <w:sz w:val="32"/>
          <w:szCs w:val="32"/>
          <w:lang w:val="en-US" w:eastAsia="zh-CN"/>
        </w:rPr>
        <w:t>批发业发展。对新升规纳库的批发业单位，给予5万元一次性奖励。</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cs="仿宋_GB2312"/>
          <w:sz w:val="32"/>
          <w:szCs w:val="32"/>
          <w:lang w:val="en-US" w:eastAsia="zh-CN"/>
        </w:rPr>
        <w:t>2</w:t>
      </w:r>
      <w:r>
        <w:rPr>
          <w:rFonts w:hint="eastAsia" w:ascii="仿宋_GB2312" w:hAnsi="仿宋_GB2312" w:eastAsia="仿宋_GB2312" w:cs="仿宋_GB2312"/>
          <w:sz w:val="32"/>
          <w:szCs w:val="32"/>
          <w:lang w:val="en-US" w:eastAsia="zh-CN"/>
        </w:rPr>
        <w:t>.支持零售</w:t>
      </w:r>
      <w:r>
        <w:rPr>
          <w:rFonts w:hint="eastAsia" w:ascii="仿宋_GB2312" w:hAnsi="仿宋_GB2312" w:cs="仿宋_GB2312"/>
          <w:sz w:val="32"/>
          <w:szCs w:val="32"/>
          <w:lang w:val="en-US" w:eastAsia="zh-CN"/>
        </w:rPr>
        <w:t>业发展。对新升规纳库的零售业单位，给予3万元一次性奖励。</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cs="仿宋_GB2312"/>
          <w:sz w:val="32"/>
          <w:szCs w:val="32"/>
          <w:lang w:val="en-US" w:eastAsia="zh-CN"/>
        </w:rPr>
        <w:t>3.支持住宿业、</w:t>
      </w:r>
      <w:r>
        <w:rPr>
          <w:rFonts w:hint="eastAsia" w:ascii="仿宋_GB2312" w:hAnsi="仿宋_GB2312" w:eastAsia="仿宋_GB2312" w:cs="仿宋_GB2312"/>
          <w:sz w:val="32"/>
          <w:szCs w:val="32"/>
          <w:lang w:val="en-US" w:eastAsia="zh-CN"/>
        </w:rPr>
        <w:t>餐饮业发展。</w:t>
      </w:r>
      <w:r>
        <w:rPr>
          <w:rFonts w:hint="eastAsia" w:ascii="仿宋_GB2312" w:hAnsi="仿宋_GB2312" w:cs="仿宋_GB2312"/>
          <w:sz w:val="32"/>
          <w:szCs w:val="32"/>
          <w:lang w:val="en-US" w:eastAsia="zh-CN"/>
        </w:rPr>
        <w:t>对新升规纳库的住宿业、餐饮业单位，给予3万元一次性奖励。</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cs="仿宋_GB2312"/>
          <w:sz w:val="32"/>
          <w:szCs w:val="32"/>
          <w:lang w:val="en-US" w:eastAsia="zh-CN"/>
        </w:rPr>
        <w:t>4</w:t>
      </w:r>
      <w:r>
        <w:rPr>
          <w:rFonts w:hint="eastAsia" w:ascii="仿宋_GB2312" w:hAnsi="仿宋_GB2312" w:eastAsia="仿宋_GB2312" w:cs="仿宋_GB2312"/>
          <w:sz w:val="32"/>
          <w:szCs w:val="32"/>
          <w:lang w:val="en-US" w:eastAsia="zh-CN"/>
        </w:rPr>
        <w:t>.支持工业</w:t>
      </w:r>
      <w:r>
        <w:rPr>
          <w:rFonts w:hint="eastAsia" w:ascii="仿宋_GB2312" w:hAnsi="仿宋_GB2312" w:cs="仿宋_GB2312"/>
          <w:sz w:val="32"/>
          <w:szCs w:val="32"/>
          <w:lang w:val="en-US" w:eastAsia="zh-CN"/>
        </w:rPr>
        <w:t>、农畜</w:t>
      </w:r>
      <w:r>
        <w:rPr>
          <w:rFonts w:hint="eastAsia" w:ascii="仿宋_GB2312" w:hAnsi="仿宋_GB2312" w:eastAsia="仿宋_GB2312" w:cs="仿宋_GB2312"/>
          <w:sz w:val="32"/>
          <w:szCs w:val="32"/>
          <w:lang w:val="en-US" w:eastAsia="zh-CN"/>
        </w:rPr>
        <w:t>企业成立销售公司。支持工业</w:t>
      </w:r>
      <w:r>
        <w:rPr>
          <w:rFonts w:hint="eastAsia" w:ascii="仿宋_GB2312" w:hAnsi="仿宋_GB2312" w:cs="仿宋_GB2312"/>
          <w:sz w:val="32"/>
          <w:szCs w:val="32"/>
          <w:lang w:val="en-US" w:eastAsia="zh-CN"/>
        </w:rPr>
        <w:t>、农畜</w:t>
      </w:r>
      <w:r>
        <w:rPr>
          <w:rFonts w:hint="eastAsia" w:ascii="仿宋_GB2312" w:hAnsi="仿宋_GB2312" w:eastAsia="仿宋_GB2312" w:cs="仿宋_GB2312"/>
          <w:sz w:val="32"/>
          <w:szCs w:val="32"/>
          <w:lang w:val="en-US" w:eastAsia="zh-CN"/>
        </w:rPr>
        <w:t>企业“产销分离”，当年注册且纳统成功的贸易企业</w:t>
      </w:r>
      <w:r>
        <w:rPr>
          <w:rFonts w:hint="eastAsia" w:ascii="仿宋_GB2312" w:hAnsi="仿宋_GB2312" w:cs="仿宋_GB2312"/>
          <w:sz w:val="32"/>
          <w:szCs w:val="32"/>
          <w:lang w:val="en-US" w:eastAsia="zh-CN"/>
        </w:rPr>
        <w:t>或个体</w:t>
      </w:r>
      <w:r>
        <w:rPr>
          <w:rFonts w:hint="eastAsia" w:ascii="仿宋_GB2312" w:hAnsi="仿宋_GB2312" w:eastAsia="仿宋_GB2312" w:cs="仿宋_GB2312"/>
          <w:sz w:val="32"/>
          <w:szCs w:val="32"/>
          <w:lang w:val="en-US" w:eastAsia="zh-CN"/>
        </w:rPr>
        <w:t>（每家工业企业仅限一家），除享受纳统奖励之外，额外奖励3万元</w:t>
      </w:r>
      <w:r>
        <w:rPr>
          <w:rFonts w:hint="eastAsia" w:ascii="仿宋_GB2312" w:hAnsi="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lang w:val="en-US" w:eastAsia="zh-CN"/>
        </w:rPr>
        <w:t>鼓励电商企业发展。对注册地在</w:t>
      </w:r>
      <w:r>
        <w:rPr>
          <w:rFonts w:hint="eastAsia" w:ascii="仿宋_GB2312" w:hAnsi="仿宋_GB2312" w:cs="仿宋_GB2312"/>
          <w:sz w:val="32"/>
          <w:szCs w:val="32"/>
          <w:lang w:val="en-US" w:eastAsia="zh-CN"/>
        </w:rPr>
        <w:t>扎赉诺尔区</w:t>
      </w:r>
      <w:r>
        <w:rPr>
          <w:rFonts w:hint="eastAsia" w:ascii="仿宋_GB2312" w:hAnsi="仿宋_GB2312" w:eastAsia="仿宋_GB2312" w:cs="仿宋_GB2312"/>
          <w:sz w:val="32"/>
          <w:szCs w:val="32"/>
          <w:lang w:val="en-US" w:eastAsia="zh-CN"/>
        </w:rPr>
        <w:t>且纳统的电子商务企业，除享受纳统奖励外，当年网络零售额达到1000万元、3000万元、1亿元以上的，分别再给予</w:t>
      </w:r>
      <w:r>
        <w:rPr>
          <w:rFonts w:hint="default"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val="en-US" w:eastAsia="zh-CN"/>
        </w:rPr>
        <w:t>万元、</w:t>
      </w:r>
      <w:r>
        <w:rPr>
          <w:rFonts w:hint="default"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lang w:val="en-US" w:eastAsia="zh-CN"/>
        </w:rPr>
        <w:t>万元、</w:t>
      </w:r>
      <w:r>
        <w:rPr>
          <w:rFonts w:hint="default" w:ascii="仿宋_GB2312" w:hAnsi="仿宋_GB2312" w:eastAsia="仿宋_GB2312" w:cs="仿宋_GB2312"/>
          <w:sz w:val="32"/>
          <w:szCs w:val="32"/>
          <w:lang w:val="en-US" w:eastAsia="zh-CN"/>
        </w:rPr>
        <w:t>1</w:t>
      </w: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lang w:val="en-US" w:eastAsia="zh-CN"/>
        </w:rPr>
        <w:t>万元奖励。纳统一年后，年销售额同比增长30%以上的，当年再给予奖励</w:t>
      </w:r>
      <w:r>
        <w:rPr>
          <w:rFonts w:hint="default"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val="en-US" w:eastAsia="zh-CN"/>
        </w:rPr>
        <w:t>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cs="仿宋_GB2312"/>
          <w:sz w:val="32"/>
          <w:szCs w:val="32"/>
          <w:lang w:val="en-US" w:eastAsia="zh-CN"/>
        </w:rPr>
      </w:pPr>
      <w:r>
        <w:rPr>
          <w:rFonts w:hint="eastAsia" w:ascii="仿宋_GB2312" w:hAnsi="仿宋_GB2312" w:cs="仿宋_GB2312"/>
          <w:sz w:val="32"/>
          <w:szCs w:val="32"/>
          <w:lang w:val="en-US" w:eastAsia="zh-CN"/>
        </w:rPr>
        <w:t>6.</w:t>
      </w:r>
      <w:r>
        <w:rPr>
          <w:rFonts w:hint="eastAsia" w:ascii="仿宋_GB2312" w:hAnsi="仿宋_GB2312" w:eastAsia="仿宋_GB2312" w:cs="仿宋_GB2312"/>
          <w:sz w:val="32"/>
          <w:szCs w:val="32"/>
          <w:lang w:val="en-US" w:eastAsia="zh-CN"/>
        </w:rPr>
        <w:t>支持各类综合市场统一收银。对实现统一收银、统一结算、统一账目管理且升规纳统</w:t>
      </w:r>
      <w:r>
        <w:rPr>
          <w:rFonts w:hint="eastAsia" w:ascii="仿宋_GB2312" w:hAnsi="仿宋_GB2312" w:cs="仿宋_GB2312"/>
          <w:sz w:val="32"/>
          <w:szCs w:val="32"/>
          <w:lang w:val="en-US" w:eastAsia="zh-CN"/>
        </w:rPr>
        <w:t>的</w:t>
      </w:r>
      <w:r>
        <w:rPr>
          <w:rFonts w:hint="eastAsia" w:ascii="仿宋_GB2312" w:hAnsi="仿宋_GB2312" w:eastAsia="仿宋_GB2312" w:cs="仿宋_GB2312"/>
          <w:sz w:val="32"/>
          <w:szCs w:val="32"/>
          <w:lang w:val="en-US" w:eastAsia="zh-CN"/>
        </w:rPr>
        <w:t>农贸市场、建材市场、商业综合体等综合市场，给予</w:t>
      </w: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lang w:val="en-US" w:eastAsia="zh-CN"/>
        </w:rPr>
        <w:t>万元奖励</w:t>
      </w:r>
      <w:r>
        <w:rPr>
          <w:rFonts w:hint="default"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cs="仿宋_GB2312"/>
          <w:b w:val="0"/>
          <w:bCs w:val="0"/>
          <w:i w:val="0"/>
          <w:iCs w:val="0"/>
          <w:color w:val="auto"/>
          <w:kern w:val="2"/>
          <w:sz w:val="32"/>
          <w:szCs w:val="32"/>
          <w:highlight w:val="none"/>
          <w:vertAlign w:val="baseline"/>
          <w:lang w:val="en-US" w:eastAsia="zh-CN" w:bidi="ar-SA"/>
        </w:rPr>
      </w:pPr>
      <w:r>
        <w:rPr>
          <w:rFonts w:hint="eastAsia" w:ascii="仿宋_GB2312" w:hAnsi="仿宋_GB2312" w:cs="仿宋_GB2312"/>
          <w:sz w:val="32"/>
          <w:szCs w:val="32"/>
          <w:lang w:val="en-US" w:eastAsia="zh-CN"/>
        </w:rPr>
        <w:t>7</w:t>
      </w:r>
      <w:r>
        <w:rPr>
          <w:rFonts w:hint="default" w:ascii="仿宋_GB2312" w:hAnsi="仿宋_GB2312" w:eastAsia="仿宋_GB2312" w:cs="仿宋_GB2312"/>
          <w:sz w:val="32"/>
          <w:szCs w:val="32"/>
          <w:lang w:val="en-US" w:eastAsia="zh-CN"/>
        </w:rPr>
        <w:t>.增速</w:t>
      </w:r>
      <w:r>
        <w:rPr>
          <w:rFonts w:hint="eastAsia" w:ascii="仿宋_GB2312" w:hAnsi="仿宋_GB2312" w:cs="仿宋_GB2312"/>
          <w:sz w:val="32"/>
          <w:szCs w:val="32"/>
          <w:lang w:val="en-US" w:eastAsia="zh-CN"/>
        </w:rPr>
        <w:t>贡献</w:t>
      </w:r>
      <w:r>
        <w:rPr>
          <w:rFonts w:hint="default" w:ascii="仿宋_GB2312" w:hAnsi="仿宋_GB2312" w:eastAsia="仿宋_GB2312" w:cs="仿宋_GB2312"/>
          <w:sz w:val="32"/>
          <w:szCs w:val="32"/>
          <w:lang w:val="en-US" w:eastAsia="zh-CN"/>
        </w:rPr>
        <w:t>奖励。</w:t>
      </w:r>
      <w:r>
        <w:rPr>
          <w:rFonts w:hint="default" w:ascii="仿宋_GB2312" w:hAnsi="仿宋_GB2312" w:eastAsia="仿宋_GB2312" w:cs="仿宋_GB2312"/>
          <w:b w:val="0"/>
          <w:bCs w:val="0"/>
          <w:i w:val="0"/>
          <w:iCs w:val="0"/>
          <w:color w:val="auto"/>
          <w:kern w:val="2"/>
          <w:sz w:val="32"/>
          <w:szCs w:val="32"/>
          <w:highlight w:val="none"/>
          <w:vertAlign w:val="baseline"/>
          <w:lang w:val="en-US" w:eastAsia="zh-CN" w:bidi="ar-SA"/>
        </w:rPr>
        <w:t>批</w:t>
      </w:r>
      <w:r>
        <w:rPr>
          <w:rFonts w:hint="eastAsia" w:ascii="仿宋_GB2312" w:hAnsi="仿宋_GB2312" w:cs="仿宋_GB2312"/>
          <w:b w:val="0"/>
          <w:bCs w:val="0"/>
          <w:i w:val="0"/>
          <w:iCs w:val="0"/>
          <w:color w:val="auto"/>
          <w:kern w:val="2"/>
          <w:sz w:val="32"/>
          <w:szCs w:val="32"/>
          <w:highlight w:val="none"/>
          <w:vertAlign w:val="baseline"/>
          <w:lang w:val="en-US" w:eastAsia="zh-CN" w:bidi="ar-SA"/>
        </w:rPr>
        <w:t>发业、零售业单位</w:t>
      </w:r>
      <w:r>
        <w:rPr>
          <w:rFonts w:hint="default" w:ascii="仿宋_GB2312" w:hAnsi="仿宋_GB2312" w:eastAsia="仿宋_GB2312" w:cs="仿宋_GB2312"/>
          <w:b w:val="0"/>
          <w:bCs w:val="0"/>
          <w:i w:val="0"/>
          <w:iCs w:val="0"/>
          <w:color w:val="auto"/>
          <w:kern w:val="2"/>
          <w:sz w:val="32"/>
          <w:szCs w:val="32"/>
          <w:highlight w:val="none"/>
          <w:vertAlign w:val="baseline"/>
          <w:lang w:val="en-US" w:eastAsia="zh-CN" w:bidi="ar-SA"/>
        </w:rPr>
        <w:t>在库期间年主营业务收入增速高于</w:t>
      </w:r>
      <w:r>
        <w:rPr>
          <w:rFonts w:hint="eastAsia" w:ascii="仿宋_GB2312" w:hAnsi="仿宋_GB2312" w:cs="仿宋_GB2312"/>
          <w:b w:val="0"/>
          <w:bCs w:val="0"/>
          <w:i w:val="0"/>
          <w:iCs w:val="0"/>
          <w:color w:val="auto"/>
          <w:kern w:val="2"/>
          <w:sz w:val="32"/>
          <w:szCs w:val="32"/>
          <w:highlight w:val="none"/>
          <w:vertAlign w:val="baseline"/>
          <w:lang w:val="en-US" w:eastAsia="zh-CN" w:bidi="ar-SA"/>
        </w:rPr>
        <w:t>所在行业限额以上单位平均增速5个百分点的，给予3万元奖励；10个百分点的，给予5</w:t>
      </w:r>
      <w:r>
        <w:rPr>
          <w:rFonts w:hint="eastAsia" w:ascii="仿宋_GB2312" w:hAnsi="仿宋_GB2312" w:cs="仿宋_GB2312"/>
          <w:b w:val="0"/>
          <w:bCs w:val="0"/>
          <w:i w:val="0"/>
          <w:iCs w:val="0"/>
          <w:color w:val="auto"/>
          <w:kern w:val="2"/>
          <w:sz w:val="32"/>
          <w:szCs w:val="32"/>
          <w:highlight w:val="none"/>
          <w:u w:val="none"/>
          <w:vertAlign w:val="baseline"/>
          <w:lang w:val="en-US" w:eastAsia="zh-CN" w:bidi="ar-SA"/>
        </w:rPr>
        <w:t>万元</w:t>
      </w:r>
      <w:r>
        <w:rPr>
          <w:rFonts w:hint="eastAsia" w:ascii="仿宋_GB2312" w:hAnsi="仿宋_GB2312" w:cs="仿宋_GB2312"/>
          <w:b w:val="0"/>
          <w:bCs w:val="0"/>
          <w:i w:val="0"/>
          <w:iCs w:val="0"/>
          <w:color w:val="auto"/>
          <w:kern w:val="2"/>
          <w:sz w:val="32"/>
          <w:szCs w:val="32"/>
          <w:highlight w:val="none"/>
          <w:vertAlign w:val="baseline"/>
          <w:lang w:val="en-US" w:eastAsia="zh-CN" w:bidi="ar-SA"/>
        </w:rPr>
        <w:t>奖励；20个百分点以上的，给予</w:t>
      </w:r>
      <w:r>
        <w:rPr>
          <w:rFonts w:hint="eastAsia" w:ascii="仿宋_GB2312" w:hAnsi="仿宋_GB2312" w:cs="仿宋_GB2312"/>
          <w:b w:val="0"/>
          <w:bCs w:val="0"/>
          <w:i w:val="0"/>
          <w:iCs w:val="0"/>
          <w:color w:val="auto"/>
          <w:kern w:val="2"/>
          <w:sz w:val="32"/>
          <w:szCs w:val="32"/>
          <w:highlight w:val="none"/>
          <w:u w:val="none"/>
          <w:vertAlign w:val="baseline"/>
          <w:lang w:val="en-US" w:eastAsia="zh-CN" w:bidi="ar-SA"/>
        </w:rPr>
        <w:t>10万元</w:t>
      </w:r>
      <w:r>
        <w:rPr>
          <w:rFonts w:hint="eastAsia" w:ascii="仿宋_GB2312" w:hAnsi="仿宋_GB2312" w:cs="仿宋_GB2312"/>
          <w:b w:val="0"/>
          <w:bCs w:val="0"/>
          <w:i w:val="0"/>
          <w:iCs w:val="0"/>
          <w:color w:val="auto"/>
          <w:kern w:val="2"/>
          <w:sz w:val="32"/>
          <w:szCs w:val="32"/>
          <w:highlight w:val="none"/>
          <w:vertAlign w:val="baseline"/>
          <w:lang w:val="en-US" w:eastAsia="zh-CN" w:bidi="ar-SA"/>
        </w:rPr>
        <w:t>奖励。住宿业、餐饮业单位</w:t>
      </w:r>
      <w:r>
        <w:rPr>
          <w:rFonts w:hint="default" w:ascii="仿宋_GB2312" w:hAnsi="仿宋_GB2312" w:eastAsia="仿宋_GB2312" w:cs="仿宋_GB2312"/>
          <w:b w:val="0"/>
          <w:bCs w:val="0"/>
          <w:i w:val="0"/>
          <w:iCs w:val="0"/>
          <w:color w:val="auto"/>
          <w:kern w:val="2"/>
          <w:sz w:val="32"/>
          <w:szCs w:val="32"/>
          <w:highlight w:val="none"/>
          <w:vertAlign w:val="baseline"/>
          <w:lang w:val="en-US" w:eastAsia="zh-CN" w:bidi="ar-SA"/>
        </w:rPr>
        <w:t>在库期间年主营业务收入增速高于</w:t>
      </w:r>
      <w:r>
        <w:rPr>
          <w:rFonts w:hint="eastAsia" w:ascii="仿宋_GB2312" w:hAnsi="仿宋_GB2312" w:cs="仿宋_GB2312"/>
          <w:b w:val="0"/>
          <w:bCs w:val="0"/>
          <w:i w:val="0"/>
          <w:iCs w:val="0"/>
          <w:color w:val="auto"/>
          <w:kern w:val="2"/>
          <w:sz w:val="32"/>
          <w:szCs w:val="32"/>
          <w:highlight w:val="none"/>
          <w:vertAlign w:val="baseline"/>
          <w:lang w:val="en-US" w:eastAsia="zh-CN" w:bidi="ar-SA"/>
        </w:rPr>
        <w:t>所在行业限额以上单位平均增速10个百分点的，给予1万元奖励；15个百分点的，给予2万元奖励；20个百分点以上的，给予3万元奖励。</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cs="仿宋_GB2312"/>
          <w:b w:val="0"/>
          <w:bCs w:val="0"/>
          <w:i w:val="0"/>
          <w:iCs w:val="0"/>
          <w:color w:val="auto"/>
          <w:kern w:val="2"/>
          <w:sz w:val="32"/>
          <w:szCs w:val="32"/>
          <w:highlight w:val="none"/>
          <w:vertAlign w:val="baseline"/>
          <w:lang w:val="en-US" w:eastAsia="zh-CN" w:bidi="ar-SA"/>
        </w:rPr>
      </w:pPr>
      <w:r>
        <w:rPr>
          <w:rFonts w:hint="eastAsia" w:ascii="仿宋_GB2312" w:hAnsi="仿宋_GB2312" w:cs="仿宋_GB2312"/>
          <w:b w:val="0"/>
          <w:bCs w:val="0"/>
          <w:i w:val="0"/>
          <w:iCs w:val="0"/>
          <w:color w:val="auto"/>
          <w:kern w:val="2"/>
          <w:sz w:val="32"/>
          <w:szCs w:val="32"/>
          <w:highlight w:val="none"/>
          <w:vertAlign w:val="baseline"/>
          <w:lang w:val="en-US" w:eastAsia="zh-CN" w:bidi="ar-SA"/>
        </w:rPr>
        <w:t>注：若某行业仅有一家在库单位，则用扎赉诺尔区社会消费品零售总额增速作为该行业平均增速进行对比。</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（三）给予单位统计补助。</w:t>
      </w:r>
      <w:r>
        <w:rPr>
          <w:rFonts w:hint="eastAsia" w:ascii="仿宋_GB2312" w:hAnsi="仿宋_GB2312" w:eastAsia="仿宋_GB2312" w:cs="仿宋_GB2312"/>
          <w:sz w:val="32"/>
          <w:szCs w:val="32"/>
          <w:lang w:val="en-US" w:eastAsia="zh-CN"/>
        </w:rPr>
        <w:t>由</w:t>
      </w:r>
      <w:r>
        <w:rPr>
          <w:rFonts w:hint="eastAsia" w:ascii="仿宋_GB2312" w:hAnsi="仿宋_GB2312" w:cs="仿宋_GB2312"/>
          <w:sz w:val="32"/>
          <w:szCs w:val="32"/>
          <w:lang w:val="en-US" w:eastAsia="zh-CN"/>
        </w:rPr>
        <w:t>区</w:t>
      </w:r>
      <w:r>
        <w:rPr>
          <w:rFonts w:hint="eastAsia" w:ascii="仿宋_GB2312" w:hAnsi="仿宋_GB2312" w:eastAsia="仿宋_GB2312" w:cs="仿宋_GB2312"/>
          <w:sz w:val="32"/>
          <w:szCs w:val="32"/>
          <w:lang w:val="en-US" w:eastAsia="zh-CN"/>
        </w:rPr>
        <w:t>统计局负责对限额以上批零住餐单位升规入库、</w:t>
      </w:r>
      <w:r>
        <w:rPr>
          <w:rFonts w:hint="default" w:ascii="仿宋_GB2312" w:hAnsi="仿宋_GB2312" w:eastAsia="仿宋_GB2312" w:cs="仿宋_GB2312"/>
          <w:sz w:val="32"/>
          <w:szCs w:val="32"/>
          <w:lang w:val="en-US" w:eastAsia="zh-CN"/>
        </w:rPr>
        <w:t>扩限样本监测单位</w:t>
      </w:r>
      <w:r>
        <w:rPr>
          <w:rFonts w:hint="eastAsia" w:ascii="仿宋_GB2312" w:hAnsi="仿宋_GB2312" w:cs="仿宋_GB2312"/>
          <w:sz w:val="32"/>
          <w:szCs w:val="32"/>
          <w:lang w:val="en-US" w:eastAsia="zh-CN"/>
        </w:rPr>
        <w:t>、</w:t>
      </w:r>
      <w:r>
        <w:rPr>
          <w:rFonts w:hint="eastAsia" w:ascii="仿宋_GB2312" w:hAnsi="仿宋_GB2312" w:eastAsia="仿宋_GB2312" w:cs="仿宋_GB2312"/>
          <w:sz w:val="32"/>
          <w:szCs w:val="32"/>
          <w:lang w:val="en-US" w:eastAsia="zh-CN"/>
        </w:rPr>
        <w:t>限额以下批零住餐样本抽样调查单位统计人员进行网报业务、台账管理规范等培训和考核，凡考核合格的，</w:t>
      </w:r>
      <w:r>
        <w:rPr>
          <w:rFonts w:hint="eastAsia" w:ascii="仿宋_GB2312" w:hAnsi="仿宋_GB2312" w:cs="仿宋_GB2312"/>
          <w:sz w:val="32"/>
          <w:szCs w:val="32"/>
          <w:lang w:val="en-US" w:eastAsia="zh-CN"/>
        </w:rPr>
        <w:t>对</w:t>
      </w:r>
      <w:r>
        <w:rPr>
          <w:rFonts w:hint="eastAsia" w:ascii="仿宋_GB2312" w:hAnsi="仿宋_GB2312" w:eastAsia="仿宋_GB2312" w:cs="仿宋_GB2312"/>
          <w:sz w:val="32"/>
          <w:szCs w:val="32"/>
          <w:lang w:val="en-US" w:eastAsia="zh-CN"/>
        </w:rPr>
        <w:t>每个统计员</w:t>
      </w:r>
      <w:r>
        <w:rPr>
          <w:rFonts w:hint="default" w:ascii="仿宋_GB2312" w:hAnsi="仿宋_GB2312" w:eastAsia="仿宋_GB2312" w:cs="仿宋_GB2312"/>
          <w:sz w:val="32"/>
          <w:szCs w:val="32"/>
          <w:lang w:val="en-US" w:eastAsia="zh-CN"/>
        </w:rPr>
        <w:t>（1企1人）</w:t>
      </w:r>
      <w:r>
        <w:rPr>
          <w:rFonts w:hint="eastAsia" w:ascii="仿宋_GB2312" w:hAnsi="仿宋_GB2312" w:eastAsia="仿宋_GB2312" w:cs="仿宋_GB2312"/>
          <w:sz w:val="32"/>
          <w:szCs w:val="32"/>
          <w:lang w:val="en-US" w:eastAsia="zh-CN"/>
        </w:rPr>
        <w:t>给予</w:t>
      </w:r>
      <w:r>
        <w:rPr>
          <w:rFonts w:hint="eastAsia" w:ascii="仿宋_GB2312" w:hAnsi="仿宋_GB2312" w:cs="仿宋_GB2312"/>
          <w:sz w:val="32"/>
          <w:szCs w:val="32"/>
          <w:lang w:val="en-US" w:eastAsia="zh-CN"/>
        </w:rPr>
        <w:t>每月</w:t>
      </w:r>
      <w:r>
        <w:rPr>
          <w:rFonts w:hint="eastAsia" w:ascii="仿宋_GB2312" w:hAnsi="仿宋_GB2312" w:eastAsia="仿宋_GB2312" w:cs="仿宋_GB2312"/>
          <w:sz w:val="32"/>
          <w:szCs w:val="32"/>
          <w:lang w:val="en-US" w:eastAsia="zh-CN"/>
        </w:rPr>
        <w:t>1</w:t>
      </w:r>
      <w:r>
        <w:rPr>
          <w:rFonts w:hint="eastAsia" w:ascii="仿宋_GB2312" w:hAnsi="仿宋_GB2312" w:cs="仿宋_GB2312"/>
          <w:sz w:val="32"/>
          <w:szCs w:val="32"/>
          <w:lang w:val="en-US" w:eastAsia="zh-CN"/>
        </w:rPr>
        <w:t>00</w:t>
      </w:r>
      <w:r>
        <w:rPr>
          <w:rFonts w:hint="eastAsia" w:ascii="仿宋_GB2312" w:hAnsi="仿宋_GB2312" w:eastAsia="仿宋_GB2312" w:cs="仿宋_GB2312"/>
          <w:sz w:val="32"/>
          <w:szCs w:val="32"/>
          <w:lang w:val="en-US" w:eastAsia="zh-CN"/>
        </w:rPr>
        <w:t>元的补助。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default" w:ascii="黑体" w:hAnsi="黑体" w:eastAsia="黑体" w:cs="黑体"/>
          <w:sz w:val="32"/>
          <w:szCs w:val="32"/>
          <w:lang w:val="en-US" w:eastAsia="zh-CN"/>
        </w:rPr>
        <w:t>三</w:t>
      </w:r>
      <w:r>
        <w:rPr>
          <w:rFonts w:hint="eastAsia" w:ascii="黑体" w:hAnsi="黑体" w:eastAsia="黑体" w:cs="黑体"/>
          <w:sz w:val="32"/>
          <w:szCs w:val="32"/>
          <w:lang w:val="en-US" w:eastAsia="zh-CN"/>
        </w:rPr>
        <w:t>、申报条件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(一)申报单位必须是在</w:t>
      </w:r>
      <w:r>
        <w:rPr>
          <w:rFonts w:hint="eastAsia" w:ascii="仿宋_GB2312" w:hAnsi="仿宋_GB2312" w:cs="仿宋_GB2312"/>
          <w:sz w:val="32"/>
          <w:szCs w:val="32"/>
          <w:lang w:val="en-US" w:eastAsia="zh-CN"/>
        </w:rPr>
        <w:t>扎赉诺尔区</w:t>
      </w:r>
      <w:r>
        <w:rPr>
          <w:rFonts w:hint="eastAsia" w:ascii="仿宋_GB2312" w:hAnsi="仿宋_GB2312" w:eastAsia="仿宋_GB2312" w:cs="仿宋_GB2312"/>
          <w:sz w:val="32"/>
          <w:szCs w:val="32"/>
          <w:lang w:val="en-US" w:eastAsia="zh-CN"/>
        </w:rPr>
        <w:t>注册登记的独立法人单位或者个体工商户。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(二)新增“限额以上批零住餐单位”必须是主营业务收入达到升规要求，并经国家统计局审定纳入当年单位一套表名录库的单位法人或者个体工商户。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(三)单位必须合法经营，依法纳税，</w:t>
      </w:r>
      <w:r>
        <w:rPr>
          <w:rFonts w:hint="eastAsia" w:ascii="仿宋_GB2312" w:hAnsi="仿宋_GB2312" w:cs="仿宋_GB2312"/>
          <w:sz w:val="32"/>
          <w:szCs w:val="32"/>
          <w:lang w:val="en-US" w:eastAsia="zh-CN"/>
        </w:rPr>
        <w:t>无严重失信行为，未被列入严重失信主体。</w:t>
      </w:r>
      <w:r>
        <w:rPr>
          <w:rFonts w:hint="eastAsia" w:ascii="仿宋_GB2312" w:hAnsi="仿宋_GB2312" w:eastAsia="仿宋_GB2312" w:cs="仿宋_GB2312"/>
          <w:sz w:val="32"/>
          <w:szCs w:val="32"/>
          <w:lang w:val="en-US" w:eastAsia="zh-CN"/>
        </w:rPr>
        <w:t>无重大安全生产责任事故及其他违法行为。单位财务管理和统计基础工作规范，并按时向业务主管单位、统计部门等报送相应报表，上报数据全面、及时、准确。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default" w:ascii="黑体" w:hAnsi="黑体" w:eastAsia="黑体" w:cs="黑体"/>
          <w:sz w:val="32"/>
          <w:szCs w:val="32"/>
          <w:lang w:val="en-US" w:eastAsia="zh-CN"/>
        </w:rPr>
        <w:t>四</w:t>
      </w:r>
      <w:r>
        <w:rPr>
          <w:rFonts w:hint="eastAsia" w:ascii="黑体" w:hAnsi="黑体" w:eastAsia="黑体" w:cs="黑体"/>
          <w:sz w:val="32"/>
          <w:szCs w:val="32"/>
          <w:lang w:val="en-US" w:eastAsia="zh-CN"/>
        </w:rPr>
        <w:t>、附则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cs="仿宋_GB2312"/>
          <w:sz w:val="32"/>
          <w:szCs w:val="32"/>
          <w:lang w:val="en-US" w:eastAsia="zh-CN"/>
        </w:rPr>
        <w:t>（一）</w:t>
      </w:r>
      <w:r>
        <w:rPr>
          <w:rFonts w:hint="eastAsia" w:ascii="仿宋_GB2312" w:hAnsi="仿宋_GB2312" w:eastAsia="仿宋_GB2312" w:cs="仿宋_GB2312"/>
          <w:sz w:val="32"/>
          <w:szCs w:val="32"/>
          <w:lang w:val="en-US" w:eastAsia="zh-CN"/>
        </w:rPr>
        <w:t>对弄虚作假骗取</w:t>
      </w:r>
      <w:r>
        <w:rPr>
          <w:rFonts w:hint="eastAsia" w:ascii="仿宋_GB2312" w:hAnsi="仿宋_GB2312" w:cs="仿宋_GB2312"/>
          <w:sz w:val="32"/>
          <w:szCs w:val="32"/>
          <w:lang w:val="en-US" w:eastAsia="zh-CN"/>
        </w:rPr>
        <w:t>奖励资金</w:t>
      </w:r>
      <w:r>
        <w:rPr>
          <w:rFonts w:hint="eastAsia" w:ascii="仿宋_GB2312" w:hAnsi="仿宋_GB2312" w:eastAsia="仿宋_GB2312" w:cs="仿宋_GB2312"/>
          <w:sz w:val="32"/>
          <w:szCs w:val="32"/>
          <w:lang w:val="en-US" w:eastAsia="zh-CN"/>
        </w:rPr>
        <w:t>的，收回奖励资金，同时在3年内取消该单位申报奖励资金的资格。情节严重构成犯罪的,</w:t>
      </w:r>
      <w:r>
        <w:rPr>
          <w:rFonts w:hint="eastAsia" w:ascii="仿宋_GB2312" w:hAnsi="仿宋_GB2312" w:cs="仿宋_GB2312"/>
          <w:sz w:val="32"/>
          <w:szCs w:val="32"/>
          <w:lang w:val="en-US" w:eastAsia="zh-CN"/>
        </w:rPr>
        <w:t>依法</w:t>
      </w:r>
      <w:r>
        <w:rPr>
          <w:rFonts w:hint="eastAsia" w:ascii="仿宋_GB2312" w:hAnsi="仿宋_GB2312" w:eastAsia="仿宋_GB2312" w:cs="仿宋_GB2312"/>
          <w:sz w:val="32"/>
          <w:szCs w:val="32"/>
          <w:lang w:val="en-US" w:eastAsia="zh-CN"/>
        </w:rPr>
        <w:t>移送司法机关处理。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cs="仿宋_GB2312"/>
          <w:sz w:val="32"/>
          <w:szCs w:val="32"/>
          <w:lang w:val="en-US" w:eastAsia="zh-CN"/>
        </w:rPr>
        <w:t>（二）</w:t>
      </w:r>
      <w:r>
        <w:rPr>
          <w:rFonts w:hint="eastAsia" w:ascii="仿宋_GB2312" w:hAnsi="仿宋_GB2312" w:eastAsia="仿宋_GB2312" w:cs="仿宋_GB2312"/>
          <w:sz w:val="32"/>
          <w:szCs w:val="32"/>
          <w:lang w:val="en-US" w:eastAsia="zh-CN"/>
        </w:rPr>
        <w:t>本奖励办法自印发之日起开始施行，有效期三年。最终解释权归</w:t>
      </w:r>
      <w:r>
        <w:rPr>
          <w:rFonts w:hint="eastAsia" w:ascii="仿宋_GB2312" w:hAnsi="仿宋_GB2312" w:cs="仿宋_GB2312"/>
          <w:sz w:val="32"/>
          <w:szCs w:val="32"/>
          <w:lang w:val="en-US" w:eastAsia="zh-CN"/>
        </w:rPr>
        <w:t>扎赉诺尔区人民政府</w:t>
      </w:r>
      <w:r>
        <w:rPr>
          <w:rFonts w:hint="eastAsia" w:ascii="仿宋_GB2312" w:hAnsi="仿宋_GB2312" w:eastAsia="仿宋_GB2312" w:cs="仿宋_GB2312"/>
          <w:sz w:val="32"/>
          <w:szCs w:val="32"/>
          <w:lang w:val="en-US" w:eastAsia="zh-CN"/>
        </w:rPr>
        <w:t>。</w:t>
      </w:r>
    </w:p>
    <w:sectPr>
      <w:footerReference r:id="rId5" w:type="default"/>
      <w:pgSz w:w="11906" w:h="16838"/>
      <w:pgMar w:top="2098" w:right="1474" w:bottom="1984" w:left="1587"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2010600030101010101"/>
    <w:charset w:val="82"/>
    <w:family w:val="auto"/>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6"/>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vert="horz" wrap="none" lIns="0" tIns="0" rIns="0" bIns="0" anchor="t" upright="0">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l1uVLQAAAABQEAAA8AAABkcnMvZG93bnJldi54bWxNj81qwzAQhO+FvIPY&#10;Qm+NFB+KcSznUAg0pZc4fQDFWv9QaWUkJU7fvttSaC/LDrPMflPvbt6JK8Y0BdKwWSsQSF2wEw0a&#10;3k/7xxJEyoascYFQwycm2DWru9pUNix0xGubB8EhlCqjYcx5rqRM3YjepHWYkdjrQ/Qms4yDtNEs&#10;HO6dLJR6kt5MxB9GM+PziN1He/Ea5KndL2XrogqvRf/mDi/HHoPWD/cbtQWR8Zb/juEbn9GhYaZz&#10;uJBNwmngIvlnsleUJcvz7yKbWv6nb74AUEsDBBQAAAAIAIdO4kBMklf+0gEAAJ4DAAAOAAAAZHJz&#10;L2Uyb0RvYy54bWytU82O0zAQviPxDpbvNGmFoERNV0jVIiQEKy08gOs4jSX/acZtUh4A3oATF+48&#10;V5+DsZN00XLZAxdnxmN/832fJ5ubwRp2UoDau5ovFyVnyknfaHeo+ZfPty/WnGEUrhHGO1Xzs0J+&#10;s33+bNOHSq18502jgBGIw6oPNe9iDFVRoOyUFbjwQTkqth6siJTCoWhA9IRuTbEqy1dF76EJ4KVC&#10;pN3dWOQTIjwF0Letlmrn5dEqF0dUUEZEkoSdDsi3mW3bKhk/tS2qyEzNSWnMKzWheJ/WYrsR1QFE&#10;6LScKIinUHikyQrtqOkVaieiYEfQ/0BZLcGjb+NCeluMQrIjpGJZPvLmvhNBZS1kNYar6fj/YOXH&#10;0x0w3dT8ZfnmNWdOWHrzy4/vl5+/L7++sWVyqA9Y0cH7cAdThhQmuUMLNn1JCBuyq+erq2qITNLm&#10;cr1ar0syXFJtTgineLgeAOM75S1LQc2Bni27KU4fMI5H5yOpm3Fpdf5WGzNW006RaI7EUhSH/TCx&#10;3fvmTCpp6Am88/CVs56evOaOJpwz896Ro2k65gDmYD8Hwkm6WPPI2TGAPnR5khINDG+Pkahknqnx&#10;2G3iQ8+WlU4jlubi7zyfevittn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UAAAACACHTuJA&#10;ihRmPNEAAACUAQAACwAAAAAAAAABACAAAABXAwAAX3JlbHMvLnJlbHNQSwECFAAKAAAAAACHTuJA&#10;AAAAAAAAAAAAAAAABgAAAAAAAAAAABAAAAAzAwAAX3JlbHMvUEsBAhQAFAAAAAgAh07iQEySV/7S&#10;AQAAngMAAA4AAAAAAAAAAQAgAAAANQEAAGRycy9lMm9Eb2MueG1sUEsBAhQAFAAAAAgAh07iQLl1&#10;uVLQAAAABQEAAA8AAAAAAAAAAQAgAAAAOAAAAGRycy9kb3ducmV2LnhtbFBLAQIUAAoAAAAAAIdO&#10;4kAAAAAAAAAAAAAAAAAEAAAAAAAAAAAAEAAAABYAAABkcnMvUEsFBgAAAAAGAAYAWQEAAHkFAAAA&#10;AA==&#10;">
              <v:fill on="f" focussize="0,0"/>
              <v:stroke on="f"/>
              <v:imagedata o:title=""/>
              <o:lock v:ext="edit" aspectratio="f"/>
              <v:textbox inset="0mm,0mm,0mm,0mm" style="mso-fit-shape-to-text:t;">
                <w:txbxContent>
                  <w:p>
                    <w:pPr>
                      <w:pStyle w:val="6"/>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4YTExNWVhNmFjZDlmN2NlNTViZGE0MTUwYjdiMzQifQ=="/>
    <w:docVar w:name="KSO_WPS_MARK_KEY" w:val="f0f711ab-93b9-435f-a758-3222c3e9a6b7"/>
  </w:docVars>
  <w:rsids>
    <w:rsidRoot w:val="00000000"/>
    <w:rsid w:val="01CB6701"/>
    <w:rsid w:val="0A4A5BF8"/>
    <w:rsid w:val="0AB21F41"/>
    <w:rsid w:val="0CBE1C54"/>
    <w:rsid w:val="0EED4A80"/>
    <w:rsid w:val="10EC7A09"/>
    <w:rsid w:val="156F7E69"/>
    <w:rsid w:val="189C7F66"/>
    <w:rsid w:val="26007D63"/>
    <w:rsid w:val="26FF2C90"/>
    <w:rsid w:val="27AE736E"/>
    <w:rsid w:val="27C44DE4"/>
    <w:rsid w:val="28742D14"/>
    <w:rsid w:val="3062519A"/>
    <w:rsid w:val="3CBE110B"/>
    <w:rsid w:val="3D4C664D"/>
    <w:rsid w:val="3DCE3BA2"/>
    <w:rsid w:val="3DFE63BB"/>
    <w:rsid w:val="3F721F53"/>
    <w:rsid w:val="406D3E12"/>
    <w:rsid w:val="4B6425F0"/>
    <w:rsid w:val="4DA62712"/>
    <w:rsid w:val="4DB841F3"/>
    <w:rsid w:val="51BD2437"/>
    <w:rsid w:val="556F3D31"/>
    <w:rsid w:val="55D122F6"/>
    <w:rsid w:val="59811A71"/>
    <w:rsid w:val="5F0C25F1"/>
    <w:rsid w:val="62CC218D"/>
    <w:rsid w:val="6B80414A"/>
    <w:rsid w:val="706A0602"/>
    <w:rsid w:val="71E94847"/>
    <w:rsid w:val="72527363"/>
    <w:rsid w:val="76EF3DD0"/>
    <w:rsid w:val="E4D7320B"/>
    <w:rsid w:val="FD1ED9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880" w:firstLineChars="200"/>
      <w:jc w:val="both"/>
    </w:pPr>
    <w:rPr>
      <w:rFonts w:ascii="Calibri" w:hAnsi="Calibri" w:eastAsia="仿宋_GB2312" w:cs="宋体"/>
      <w:kern w:val="2"/>
      <w:sz w:val="32"/>
      <w:szCs w:val="24"/>
      <w:lang w:val="en-US" w:eastAsia="zh-CN" w:bidi="ar-SA"/>
    </w:rPr>
  </w:style>
  <w:style w:type="paragraph" w:styleId="2">
    <w:name w:val="heading 1"/>
    <w:basedOn w:val="1"/>
    <w:next w:val="1"/>
    <w:qFormat/>
    <w:uiPriority w:val="0"/>
    <w:pPr>
      <w:keepNext/>
      <w:keepLines/>
      <w:spacing w:beforeAutospacing="0" w:afterAutospacing="0" w:line="560" w:lineRule="exact"/>
      <w:jc w:val="center"/>
      <w:outlineLvl w:val="0"/>
    </w:pPr>
    <w:rPr>
      <w:rFonts w:ascii="Calibri" w:hAnsi="Calibri" w:eastAsia="方正小标宋简体"/>
      <w:kern w:val="44"/>
      <w:sz w:val="44"/>
    </w:rPr>
  </w:style>
  <w:style w:type="paragraph" w:styleId="3">
    <w:name w:val="heading 2"/>
    <w:basedOn w:val="1"/>
    <w:next w:val="1"/>
    <w:qFormat/>
    <w:uiPriority w:val="0"/>
    <w:pPr>
      <w:keepNext/>
      <w:keepLines/>
      <w:spacing w:beforeAutospacing="0" w:afterAutospacing="0" w:line="560" w:lineRule="exact"/>
      <w:outlineLvl w:val="1"/>
    </w:pPr>
    <w:rPr>
      <w:rFonts w:ascii="Arial" w:hAnsi="Arial" w:eastAsia="黑体"/>
    </w:rPr>
  </w:style>
  <w:style w:type="paragraph" w:styleId="4">
    <w:name w:val="heading 3"/>
    <w:basedOn w:val="1"/>
    <w:next w:val="1"/>
    <w:qFormat/>
    <w:uiPriority w:val="0"/>
    <w:pPr>
      <w:keepNext/>
      <w:keepLines/>
      <w:spacing w:beforeAutospacing="0" w:afterAutospacing="0" w:line="560" w:lineRule="exact"/>
      <w:outlineLvl w:val="2"/>
    </w:pPr>
    <w:rPr>
      <w:rFonts w:eastAsia="楷体_GB2312"/>
      <w:b/>
    </w:rPr>
  </w:style>
  <w:style w:type="character" w:default="1" w:styleId="10">
    <w:name w:val="Default Paragraph Font"/>
    <w:qFormat/>
    <w:uiPriority w:val="0"/>
  </w:style>
  <w:style w:type="table" w:default="1" w:styleId="9">
    <w:name w:val="Normal Table"/>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rPr>
  </w:style>
  <w:style w:type="character" w:styleId="11">
    <w:name w:val="Strong"/>
    <w:basedOn w:val="10"/>
    <w:qFormat/>
    <w:uiPriority w:val="0"/>
    <w:rPr>
      <w:b/>
    </w:rPr>
  </w:style>
  <w:style w:type="character" w:styleId="12">
    <w:name w:val="Hyperlink"/>
    <w:basedOn w:val="10"/>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1432</Words>
  <Characters>1474</Characters>
  <Paragraphs>30</Paragraphs>
  <TotalTime>19</TotalTime>
  <ScaleCrop>false</ScaleCrop>
  <LinksUpToDate>false</LinksUpToDate>
  <CharactersWithSpaces>1474</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2023-05-22T16:43:00Z</dcterms:created>
  <dc:creator>Administrator</dc:creator>
  <cp:lastModifiedBy>gxj</cp:lastModifiedBy>
  <dcterms:modified xsi:type="dcterms:W3CDTF">2024-03-18T15:51:06Z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634AE4C813DED9EB5EF2F7650F20CE6B</vt:lpwstr>
  </property>
</Properties>
</file>